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BFA8" w14:textId="07DE91A8" w:rsidR="005204FB" w:rsidRDefault="005204FB">
      <w:r>
        <w:rPr>
          <w:noProof/>
        </w:rPr>
        <mc:AlternateContent>
          <mc:Choice Requires="wps">
            <w:drawing>
              <wp:anchor distT="0" distB="0" distL="114300" distR="114300" simplePos="0" relativeHeight="251658242" behindDoc="1" locked="0" layoutInCell="1" allowOverlap="1" wp14:anchorId="23F57D9A" wp14:editId="0952F2F0">
                <wp:simplePos x="0" y="0"/>
                <wp:positionH relativeFrom="page">
                  <wp:align>left</wp:align>
                </wp:positionH>
                <wp:positionV relativeFrom="paragraph">
                  <wp:posOffset>-664210</wp:posOffset>
                </wp:positionV>
                <wp:extent cx="7594600" cy="1084580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7594600" cy="1084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036E5C" w14:textId="3B9CB988" w:rsidR="005204FB" w:rsidRDefault="005204FB" w:rsidP="005204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7D9A" id="Rectangle 22" o:spid="_x0000_s1026" style="position:absolute;margin-left:0;margin-top:-52.3pt;width:598pt;height:854pt;z-index:-25165823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" fillcolor="#ff4900 [3204]" strokecolor="#7f2400 [1604]" strokeweight="1pt">
                <v:textbox>
                  <w:txbxContent>
                    <w:p w14:paraId="09036E5C" w14:textId="3B9CB988" w:rsidR="005204FB" w:rsidRDefault="005204FB" w:rsidP="005204FB">
                      <w:pPr>
                        <w:jc w:val="center"/>
                      </w:pPr>
                    </w:p>
                  </w:txbxContent>
                </v:textbox>
                <w10:wrap anchorx="page"/>
              </v:rect>
            </w:pict>
          </mc:Fallback>
        </mc:AlternateContent>
      </w:r>
      <w:r>
        <w:rPr>
          <w:noProof/>
        </w:rPr>
        <mc:AlternateContent>
          <mc:Choice Requires="wps">
            <w:drawing>
              <wp:anchor distT="0" distB="0" distL="114300" distR="114300" simplePos="0" relativeHeight="251658240" behindDoc="0" locked="0" layoutInCell="1" allowOverlap="1" wp14:anchorId="7A32AC78" wp14:editId="3AE3B8A9">
                <wp:simplePos x="0" y="0"/>
                <wp:positionH relativeFrom="margin">
                  <wp:align>left</wp:align>
                </wp:positionH>
                <wp:positionV relativeFrom="page">
                  <wp:posOffset>584835</wp:posOffset>
                </wp:positionV>
                <wp:extent cx="6466115" cy="2475230"/>
                <wp:effectExtent l="0" t="0" r="11430" b="7620"/>
                <wp:wrapSquare wrapText="bothSides"/>
                <wp:docPr id="16" name="Text Box 16"/>
                <wp:cNvGraphicFramePr/>
                <a:graphic xmlns:a="http://schemas.openxmlformats.org/drawingml/2006/main">
                  <a:graphicData uri="http://schemas.microsoft.com/office/word/2010/wordprocessingShape">
                    <wps:wsp>
                      <wps:cNvSpPr txBox="1"/>
                      <wps:spPr>
                        <a:xfrm>
                          <a:off x="0" y="0"/>
                          <a:ext cx="6466115" cy="2475230"/>
                        </a:xfrm>
                        <a:prstGeom prst="rect">
                          <a:avLst/>
                        </a:prstGeom>
                        <a:noFill/>
                        <a:ln w="6350">
                          <a:noFill/>
                        </a:ln>
                        <a:effectLst/>
                      </wps:spPr>
                      <wps:txbx>
                        <w:txbxContent>
                          <w:p w14:paraId="0E3EFE7D" w14:textId="4CF5CC08" w:rsidR="005204FB" w:rsidRPr="005204FB" w:rsidRDefault="00C81CEA" w:rsidP="005204FB">
                            <w:pPr>
                              <w:pStyle w:val="Title"/>
                              <w:rPr>
                                <w:color w:val="FFFDEE" w:themeColor="background1"/>
                              </w:rPr>
                            </w:pPr>
                            <w:r>
                              <w:rPr>
                                <w:color w:val="FFFDEE" w:themeColor="background1"/>
                              </w:rPr>
                              <w:t xml:space="preserve">Primary prevention research symposium </w:t>
                            </w:r>
                          </w:p>
                          <w:p w14:paraId="21B5A84D" w14:textId="785FA61B" w:rsidR="005204FB" w:rsidRPr="005204FB" w:rsidRDefault="00C81CEA" w:rsidP="005204FB">
                            <w:pPr>
                              <w:pStyle w:val="Subtitle"/>
                              <w:rPr>
                                <w:color w:val="FFFDEE" w:themeColor="background1"/>
                              </w:rPr>
                            </w:pPr>
                            <w:r>
                              <w:rPr>
                                <w:color w:val="FFFDEE" w:themeColor="background1"/>
                              </w:rPr>
                              <w:t>Summary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7A32AC78" id="_x0000_t202" coordsize="21600,21600" o:spt="202" path="m,l,21600r21600,l21600,xe">
                <v:stroke joinstyle="miter"/>
                <v:path gradientshapeok="t" o:connecttype="rect"/>
              </v:shapetype>
              <v:shape id="Text Box 16" o:spid="_x0000_s1027" type="#_x0000_t202" style="position:absolute;margin-left:0;margin-top:46.05pt;width:509.15pt;height:194.9pt;z-index:251658240;visibility:visible;mso-wrap-style:square;mso-width-percent:0;mso-height-percent:280;mso-wrap-distance-left:9pt;mso-wrap-distance-top:0;mso-wrap-distance-right:9pt;mso-wrap-distance-bottom:0;mso-position-horizontal:left;mso-position-horizontal-relative:margin;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" filled="f" stroked="f" strokeweight=".5pt">
                <v:textbox style="mso-fit-shape-to-text:t" inset="0,0,0,0">
                  <w:txbxContent>
                    <w:p w14:paraId="0E3EFE7D" w14:textId="4CF5CC08" w:rsidR="005204FB" w:rsidRPr="005204FB" w:rsidRDefault="00C81CEA" w:rsidP="005204FB">
                      <w:pPr>
                        <w:pStyle w:val="Title"/>
                        <w:rPr>
                          <w:color w:val="FFFDEE" w:themeColor="background1"/>
                        </w:rPr>
                      </w:pPr>
                      <w:r>
                        <w:rPr>
                          <w:color w:val="FFFDEE" w:themeColor="background1"/>
                        </w:rPr>
                        <w:t xml:space="preserve">Primary prevention research symposium </w:t>
                      </w:r>
                    </w:p>
                    <w:p w14:paraId="21B5A84D" w14:textId="785FA61B" w:rsidR="005204FB" w:rsidRPr="005204FB" w:rsidRDefault="00C81CEA" w:rsidP="005204FB">
                      <w:pPr>
                        <w:pStyle w:val="Subtitle"/>
                        <w:rPr>
                          <w:color w:val="FFFDEE" w:themeColor="background1"/>
                        </w:rPr>
                      </w:pPr>
                      <w:r>
                        <w:rPr>
                          <w:color w:val="FFFDEE" w:themeColor="background1"/>
                        </w:rPr>
                        <w:t>Summary Report</w:t>
                      </w:r>
                    </w:p>
                  </w:txbxContent>
                </v:textbox>
                <w10:wrap type="square" anchorx="margin" anchory="page"/>
              </v:shape>
            </w:pict>
          </mc:Fallback>
        </mc:AlternateContent>
      </w:r>
    </w:p>
    <w:sdt>
      <w:sdtPr>
        <w:id w:val="-328144411"/>
        <w:docPartObj>
          <w:docPartGallery w:val="Cover Pages"/>
          <w:docPartUnique/>
        </w:docPartObj>
      </w:sdtPr>
      <w:sdtEndPr>
        <w:rPr>
          <w:noProof/>
        </w:rPr>
      </w:sdtEndPr>
      <w:sdtContent>
        <w:p w14:paraId="2D5A90F1" w14:textId="793A0BEE" w:rsidR="005204FB" w:rsidRDefault="005204FB"/>
        <w:p w14:paraId="5821CDA6" w14:textId="4C6C2AD8" w:rsidR="00574EB7" w:rsidRDefault="00574EB7">
          <w:pPr>
            <w:spacing w:line="259" w:lineRule="auto"/>
            <w:rPr>
              <w:noProof/>
            </w:rPr>
          </w:pPr>
        </w:p>
        <w:p w14:paraId="2AE42883" w14:textId="0AD2C0F6" w:rsidR="00574EB7" w:rsidRDefault="00574EB7">
          <w:pPr>
            <w:spacing w:line="259" w:lineRule="auto"/>
            <w:rPr>
              <w:noProof/>
            </w:rPr>
          </w:pPr>
        </w:p>
        <w:p w14:paraId="3CC67C6E" w14:textId="321FBE9F" w:rsidR="00574EB7" w:rsidRDefault="00574EB7">
          <w:pPr>
            <w:spacing w:line="259" w:lineRule="auto"/>
            <w:rPr>
              <w:noProof/>
            </w:rPr>
          </w:pPr>
        </w:p>
        <w:p w14:paraId="136A9771" w14:textId="77777777" w:rsidR="00574EB7" w:rsidRDefault="00574EB7">
          <w:pPr>
            <w:spacing w:line="259" w:lineRule="auto"/>
            <w:rPr>
              <w:noProof/>
            </w:rPr>
          </w:pPr>
        </w:p>
        <w:p w14:paraId="771ED30D" w14:textId="571DD42F" w:rsidR="00574EB7" w:rsidRDefault="00574EB7">
          <w:pPr>
            <w:spacing w:line="259" w:lineRule="auto"/>
            <w:rPr>
              <w:noProof/>
            </w:rPr>
          </w:pPr>
        </w:p>
        <w:p w14:paraId="37DFED5D" w14:textId="5B5888F6" w:rsidR="005204FB" w:rsidRDefault="009A6556">
          <w:pPr>
            <w:spacing w:line="259" w:lineRule="auto"/>
            <w:rPr>
              <w:noProof/>
            </w:rPr>
          </w:pPr>
          <w:r>
            <w:rPr>
              <w:noProof/>
            </w:rPr>
            <mc:AlternateContent>
              <mc:Choice Requires="wps">
                <w:drawing>
                  <wp:anchor distT="0" distB="0" distL="114300" distR="114300" simplePos="0" relativeHeight="251658241" behindDoc="0" locked="0" layoutInCell="1" allowOverlap="1" wp14:anchorId="1FF8F610" wp14:editId="35B6C118">
                    <wp:simplePos x="0" y="0"/>
                    <wp:positionH relativeFrom="margin">
                      <wp:align>left</wp:align>
                    </wp:positionH>
                    <wp:positionV relativeFrom="page">
                      <wp:posOffset>9941442</wp:posOffset>
                    </wp:positionV>
                    <wp:extent cx="2296973" cy="389934"/>
                    <wp:effectExtent l="0" t="0" r="8255" b="10160"/>
                    <wp:wrapNone/>
                    <wp:docPr id="17" name="Text Box 17"/>
                    <wp:cNvGraphicFramePr/>
                    <a:graphic xmlns:a="http://schemas.openxmlformats.org/drawingml/2006/main">
                      <a:graphicData uri="http://schemas.microsoft.com/office/word/2010/wordprocessingShape">
                        <wps:wsp>
                          <wps:cNvSpPr txBox="1"/>
                          <wps:spPr>
                            <a:xfrm>
                              <a:off x="0" y="0"/>
                              <a:ext cx="2296973" cy="389934"/>
                            </a:xfrm>
                            <a:prstGeom prst="rect">
                              <a:avLst/>
                            </a:prstGeom>
                            <a:noFill/>
                            <a:ln w="6350">
                              <a:noFill/>
                            </a:ln>
                          </wps:spPr>
                          <wps:txbx>
                            <w:txbxContent>
                              <w:p w14:paraId="6CAF3962" w14:textId="5C776442" w:rsidR="005204FB" w:rsidRDefault="00D418BF" w:rsidP="005204FB">
                                <w:pPr>
                                  <w:pStyle w:val="Subtitle"/>
                                  <w:rPr>
                                    <w:color w:val="FFFDEE" w:themeColor="background1"/>
                                  </w:rPr>
                                </w:pPr>
                                <w:r>
                                  <w:rPr>
                                    <w:color w:val="FFFDEE" w:themeColor="background1"/>
                                  </w:rPr>
                                  <w:t xml:space="preserve">October </w:t>
                                </w:r>
                                <w:r w:rsidR="00C81CEA">
                                  <w:rPr>
                                    <w:color w:val="FFFDEE" w:themeColor="background1"/>
                                  </w:rPr>
                                  <w:t>2023</w:t>
                                </w:r>
                              </w:p>
                              <w:p w14:paraId="72BDBD97" w14:textId="77777777" w:rsidR="00F5305D" w:rsidRDefault="00F5305D" w:rsidP="00F5305D"/>
                              <w:p w14:paraId="6DCB05D1" w14:textId="77777777" w:rsidR="00F5305D" w:rsidRPr="00F5305D" w:rsidRDefault="00F5305D" w:rsidP="00F5305D"/>
                              <w:p w14:paraId="045DB041" w14:textId="77777777" w:rsidR="00F5305D" w:rsidRPr="00F5305D" w:rsidRDefault="00F5305D" w:rsidP="00F5305D"/>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F610" id="Text Box 17" o:spid="_x0000_s1028" type="#_x0000_t202" style="position:absolute;margin-left:0;margin-top:782.8pt;width:180.85pt;height:30.7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" filled="f" stroked="f" strokeweight=".5pt">
                    <v:textbox inset="0,0,0,0">
                      <w:txbxContent>
                        <w:p w14:paraId="6CAF3962" w14:textId="5C776442" w:rsidR="005204FB" w:rsidRDefault="00D418BF" w:rsidP="005204FB">
                          <w:pPr>
                            <w:pStyle w:val="Subtitle"/>
                            <w:rPr>
                              <w:color w:val="FFFDEE" w:themeColor="background1"/>
                            </w:rPr>
                          </w:pPr>
                          <w:r>
                            <w:rPr>
                              <w:color w:val="FFFDEE" w:themeColor="background1"/>
                            </w:rPr>
                            <w:t xml:space="preserve">October </w:t>
                          </w:r>
                          <w:r w:rsidR="00C81CEA">
                            <w:rPr>
                              <w:color w:val="FFFDEE" w:themeColor="background1"/>
                            </w:rPr>
                            <w:t>2023</w:t>
                          </w:r>
                        </w:p>
                        <w:p w14:paraId="72BDBD97" w14:textId="77777777" w:rsidR="00F5305D" w:rsidRDefault="00F5305D" w:rsidP="00F5305D"/>
                        <w:p w14:paraId="6DCB05D1" w14:textId="77777777" w:rsidR="00F5305D" w:rsidRPr="00F5305D" w:rsidRDefault="00F5305D" w:rsidP="00F5305D"/>
                        <w:p w14:paraId="045DB041" w14:textId="77777777" w:rsidR="00F5305D" w:rsidRPr="00F5305D" w:rsidRDefault="00F5305D" w:rsidP="00F5305D"/>
                      </w:txbxContent>
                    </v:textbox>
                    <w10:wrap anchorx="margin" anchory="page"/>
                  </v:shape>
                </w:pict>
              </mc:Fallback>
            </mc:AlternateContent>
          </w:r>
          <w:r w:rsidR="00C81CEA">
            <w:rPr>
              <w:noProof/>
            </w:rPr>
            <w:drawing>
              <wp:anchor distT="0" distB="0" distL="114300" distR="114300" simplePos="0" relativeHeight="251658243" behindDoc="0" locked="0" layoutInCell="1" allowOverlap="1" wp14:anchorId="249AE9ED" wp14:editId="60AA3735">
                <wp:simplePos x="0" y="0"/>
                <wp:positionH relativeFrom="column">
                  <wp:posOffset>3774440</wp:posOffset>
                </wp:positionH>
                <wp:positionV relativeFrom="paragraph">
                  <wp:posOffset>3357245</wp:posOffset>
                </wp:positionV>
                <wp:extent cx="3009900" cy="1840865"/>
                <wp:effectExtent l="0" t="0" r="0" b="6985"/>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4FB">
            <w:rPr>
              <w:noProof/>
            </w:rPr>
            <w:br w:type="page"/>
          </w:r>
        </w:p>
      </w:sdtContent>
    </w:sdt>
    <w:p w14:paraId="69864AA8" w14:textId="46190324" w:rsidR="00D83132" w:rsidRPr="00F34A67" w:rsidRDefault="00F34A67" w:rsidP="00F34A67">
      <w:pPr>
        <w:rPr>
          <w:rFonts w:ascii="Impact" w:hAnsi="Impact"/>
          <w:noProof/>
          <w:color w:val="FF4900"/>
          <w:sz w:val="52"/>
          <w:szCs w:val="52"/>
        </w:rPr>
      </w:pPr>
      <w:r w:rsidRPr="00F34A67">
        <w:rPr>
          <w:rFonts w:ascii="Impact" w:hAnsi="Impact"/>
          <w:noProof/>
          <w:color w:val="FF4900"/>
          <w:sz w:val="52"/>
          <w:szCs w:val="52"/>
        </w:rPr>
        <w:t>CONTENTS</w:t>
      </w:r>
    </w:p>
    <w:p w14:paraId="1491C601" w14:textId="415FE0D3" w:rsidR="00D418BF" w:rsidRPr="00D418BF" w:rsidRDefault="00D83132" w:rsidP="00D418BF">
      <w:pPr>
        <w:pStyle w:val="TOC2"/>
        <w:rPr>
          <w:rFonts w:asciiTheme="minorHAnsi" w:eastAsiaTheme="minorEastAsia" w:hAnsiTheme="minorHAnsi" w:cstheme="minorBidi"/>
          <w:color w:val="auto"/>
          <w:szCs w:val="22"/>
          <w:lang w:eastAsia="en-AU"/>
        </w:rPr>
      </w:pPr>
      <w:r>
        <w:rPr>
          <w:b/>
          <w:bCs/>
        </w:rPr>
        <w:fldChar w:fldCharType="begin"/>
      </w:r>
      <w:r>
        <w:instrText xml:space="preserve"> TOC \o "1-3" \h \z \u </w:instrText>
      </w:r>
      <w:r>
        <w:rPr>
          <w:b/>
          <w:bCs/>
        </w:rPr>
        <w:fldChar w:fldCharType="separate"/>
      </w:r>
      <w:hyperlink w:anchor="_Toc148363889" w:history="1">
        <w:r w:rsidR="00D418BF" w:rsidRPr="00D418BF">
          <w:rPr>
            <w:rStyle w:val="Hyperlink"/>
            <w:lang w:val="en-GB"/>
          </w:rPr>
          <w:t>Background</w:t>
        </w:r>
        <w:r w:rsidR="00D418BF" w:rsidRPr="00D418BF">
          <w:rPr>
            <w:webHidden/>
          </w:rPr>
          <w:tab/>
        </w:r>
        <w:r w:rsidR="00D418BF" w:rsidRPr="00D418BF">
          <w:rPr>
            <w:webHidden/>
          </w:rPr>
          <w:fldChar w:fldCharType="begin"/>
        </w:r>
        <w:r w:rsidR="00D418BF" w:rsidRPr="00D418BF">
          <w:rPr>
            <w:webHidden/>
          </w:rPr>
          <w:instrText xml:space="preserve"> PAGEREF _Toc148363889 \h </w:instrText>
        </w:r>
        <w:r w:rsidR="00D418BF" w:rsidRPr="00D418BF">
          <w:rPr>
            <w:webHidden/>
          </w:rPr>
        </w:r>
        <w:r w:rsidR="00D418BF" w:rsidRPr="00D418BF">
          <w:rPr>
            <w:webHidden/>
          </w:rPr>
          <w:fldChar w:fldCharType="separate"/>
        </w:r>
        <w:r w:rsidR="00AF1239">
          <w:rPr>
            <w:webHidden/>
          </w:rPr>
          <w:t>3</w:t>
        </w:r>
        <w:r w:rsidR="00D418BF" w:rsidRPr="00D418BF">
          <w:rPr>
            <w:webHidden/>
          </w:rPr>
          <w:fldChar w:fldCharType="end"/>
        </w:r>
      </w:hyperlink>
    </w:p>
    <w:p w14:paraId="3765C7B1" w14:textId="511D072D" w:rsidR="00D418BF" w:rsidRPr="00D418BF" w:rsidRDefault="00162736" w:rsidP="00D418BF">
      <w:pPr>
        <w:pStyle w:val="TOC2"/>
        <w:rPr>
          <w:rFonts w:asciiTheme="minorHAnsi" w:eastAsiaTheme="minorEastAsia" w:hAnsiTheme="minorHAnsi" w:cstheme="minorBidi"/>
          <w:color w:val="auto"/>
          <w:szCs w:val="22"/>
          <w:lang w:eastAsia="en-AU"/>
        </w:rPr>
      </w:pPr>
      <w:hyperlink w:anchor="_Toc148363890" w:history="1">
        <w:r w:rsidR="00D418BF" w:rsidRPr="00D418BF">
          <w:rPr>
            <w:rStyle w:val="Hyperlink"/>
            <w:lang w:val="en-GB"/>
          </w:rPr>
          <w:t>Facilitation and participation</w:t>
        </w:r>
        <w:r w:rsidR="00D418BF" w:rsidRPr="00D418BF">
          <w:rPr>
            <w:webHidden/>
          </w:rPr>
          <w:tab/>
        </w:r>
        <w:r w:rsidR="00D418BF" w:rsidRPr="00D418BF">
          <w:rPr>
            <w:webHidden/>
          </w:rPr>
          <w:fldChar w:fldCharType="begin"/>
        </w:r>
        <w:r w:rsidR="00D418BF" w:rsidRPr="00D418BF">
          <w:rPr>
            <w:webHidden/>
          </w:rPr>
          <w:instrText xml:space="preserve"> PAGEREF _Toc148363890 \h </w:instrText>
        </w:r>
        <w:r w:rsidR="00D418BF" w:rsidRPr="00D418BF">
          <w:rPr>
            <w:webHidden/>
          </w:rPr>
        </w:r>
        <w:r w:rsidR="00D418BF" w:rsidRPr="00D418BF">
          <w:rPr>
            <w:webHidden/>
          </w:rPr>
          <w:fldChar w:fldCharType="separate"/>
        </w:r>
        <w:r w:rsidR="00AF1239">
          <w:rPr>
            <w:webHidden/>
          </w:rPr>
          <w:t>3</w:t>
        </w:r>
        <w:r w:rsidR="00D418BF" w:rsidRPr="00D418BF">
          <w:rPr>
            <w:webHidden/>
          </w:rPr>
          <w:fldChar w:fldCharType="end"/>
        </w:r>
      </w:hyperlink>
    </w:p>
    <w:p w14:paraId="56AA9509" w14:textId="33443CC1" w:rsidR="00D418BF" w:rsidRPr="00D418BF" w:rsidRDefault="00162736" w:rsidP="00D418BF">
      <w:pPr>
        <w:pStyle w:val="TOC2"/>
        <w:rPr>
          <w:rFonts w:asciiTheme="minorHAnsi" w:eastAsiaTheme="minorEastAsia" w:hAnsiTheme="minorHAnsi" w:cstheme="minorBidi"/>
          <w:color w:val="auto"/>
          <w:szCs w:val="22"/>
          <w:lang w:eastAsia="en-AU"/>
        </w:rPr>
      </w:pPr>
      <w:hyperlink w:anchor="_Toc148363891" w:history="1">
        <w:r w:rsidR="00D418BF" w:rsidRPr="00D418BF">
          <w:rPr>
            <w:rStyle w:val="Hyperlink"/>
            <w:lang w:val="en-GB"/>
          </w:rPr>
          <w:t>Key discussion points and opportunities for primary prevention research</w:t>
        </w:r>
        <w:r w:rsidR="00D418BF" w:rsidRPr="00D418BF">
          <w:rPr>
            <w:webHidden/>
          </w:rPr>
          <w:tab/>
        </w:r>
        <w:r w:rsidR="00D418BF" w:rsidRPr="00D418BF">
          <w:rPr>
            <w:webHidden/>
          </w:rPr>
          <w:fldChar w:fldCharType="begin"/>
        </w:r>
        <w:r w:rsidR="00D418BF" w:rsidRPr="00D418BF">
          <w:rPr>
            <w:webHidden/>
          </w:rPr>
          <w:instrText xml:space="preserve"> PAGEREF _Toc148363891 \h </w:instrText>
        </w:r>
        <w:r w:rsidR="00D418BF" w:rsidRPr="00D418BF">
          <w:rPr>
            <w:webHidden/>
          </w:rPr>
        </w:r>
        <w:r w:rsidR="00D418BF" w:rsidRPr="00D418BF">
          <w:rPr>
            <w:webHidden/>
          </w:rPr>
          <w:fldChar w:fldCharType="separate"/>
        </w:r>
        <w:r w:rsidR="00AF1239">
          <w:rPr>
            <w:webHidden/>
          </w:rPr>
          <w:t>3</w:t>
        </w:r>
        <w:r w:rsidR="00D418BF" w:rsidRPr="00D418BF">
          <w:rPr>
            <w:webHidden/>
          </w:rPr>
          <w:fldChar w:fldCharType="end"/>
        </w:r>
      </w:hyperlink>
    </w:p>
    <w:p w14:paraId="69245BE6" w14:textId="0F338992"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2" w:history="1">
        <w:r w:rsidR="00D418BF" w:rsidRPr="0019388F">
          <w:rPr>
            <w:rStyle w:val="Hyperlink"/>
            <w:noProof/>
          </w:rPr>
          <w:t>The relationship between primary prevention research, practice and policy</w:t>
        </w:r>
        <w:r w:rsidR="00D418BF">
          <w:rPr>
            <w:noProof/>
            <w:webHidden/>
          </w:rPr>
          <w:tab/>
        </w:r>
        <w:r w:rsidR="00D418BF">
          <w:rPr>
            <w:noProof/>
            <w:webHidden/>
          </w:rPr>
          <w:fldChar w:fldCharType="begin"/>
        </w:r>
        <w:r w:rsidR="00D418BF">
          <w:rPr>
            <w:noProof/>
            <w:webHidden/>
          </w:rPr>
          <w:instrText xml:space="preserve"> PAGEREF _Toc148363892 \h </w:instrText>
        </w:r>
        <w:r w:rsidR="00D418BF">
          <w:rPr>
            <w:noProof/>
            <w:webHidden/>
          </w:rPr>
        </w:r>
        <w:r w:rsidR="00D418BF">
          <w:rPr>
            <w:noProof/>
            <w:webHidden/>
          </w:rPr>
          <w:fldChar w:fldCharType="separate"/>
        </w:r>
        <w:r w:rsidR="00AF1239">
          <w:rPr>
            <w:noProof/>
            <w:webHidden/>
          </w:rPr>
          <w:t>4</w:t>
        </w:r>
        <w:r w:rsidR="00D418BF">
          <w:rPr>
            <w:noProof/>
            <w:webHidden/>
          </w:rPr>
          <w:fldChar w:fldCharType="end"/>
        </w:r>
      </w:hyperlink>
    </w:p>
    <w:p w14:paraId="32E67A65" w14:textId="4A161C34"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3" w:history="1">
        <w:r w:rsidR="00D418BF" w:rsidRPr="0019388F">
          <w:rPr>
            <w:rStyle w:val="Hyperlink"/>
            <w:noProof/>
          </w:rPr>
          <w:t>Strong foundation of frameworks, strategies, data, and research bodies</w:t>
        </w:r>
        <w:r w:rsidR="00D418BF">
          <w:rPr>
            <w:noProof/>
            <w:webHidden/>
          </w:rPr>
          <w:tab/>
        </w:r>
        <w:r w:rsidR="00D418BF">
          <w:rPr>
            <w:noProof/>
            <w:webHidden/>
          </w:rPr>
          <w:fldChar w:fldCharType="begin"/>
        </w:r>
        <w:r w:rsidR="00D418BF">
          <w:rPr>
            <w:noProof/>
            <w:webHidden/>
          </w:rPr>
          <w:instrText xml:space="preserve"> PAGEREF _Toc148363893 \h </w:instrText>
        </w:r>
        <w:r w:rsidR="00D418BF">
          <w:rPr>
            <w:noProof/>
            <w:webHidden/>
          </w:rPr>
        </w:r>
        <w:r w:rsidR="00D418BF">
          <w:rPr>
            <w:noProof/>
            <w:webHidden/>
          </w:rPr>
          <w:fldChar w:fldCharType="separate"/>
        </w:r>
        <w:r w:rsidR="00AF1239">
          <w:rPr>
            <w:noProof/>
            <w:webHidden/>
          </w:rPr>
          <w:t>4</w:t>
        </w:r>
        <w:r w:rsidR="00D418BF">
          <w:rPr>
            <w:noProof/>
            <w:webHidden/>
          </w:rPr>
          <w:fldChar w:fldCharType="end"/>
        </w:r>
      </w:hyperlink>
    </w:p>
    <w:p w14:paraId="4EF2477D" w14:textId="659235E3"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4" w:history="1">
        <w:r w:rsidR="00D418BF" w:rsidRPr="0019388F">
          <w:rPr>
            <w:rStyle w:val="Hyperlink"/>
            <w:noProof/>
          </w:rPr>
          <w:t>Decolonisation and structures of power</w:t>
        </w:r>
        <w:r w:rsidR="00D418BF">
          <w:rPr>
            <w:noProof/>
            <w:webHidden/>
          </w:rPr>
          <w:tab/>
        </w:r>
        <w:r w:rsidR="00D418BF">
          <w:rPr>
            <w:noProof/>
            <w:webHidden/>
          </w:rPr>
          <w:fldChar w:fldCharType="begin"/>
        </w:r>
        <w:r w:rsidR="00D418BF">
          <w:rPr>
            <w:noProof/>
            <w:webHidden/>
          </w:rPr>
          <w:instrText xml:space="preserve"> PAGEREF _Toc148363894 \h </w:instrText>
        </w:r>
        <w:r w:rsidR="00D418BF">
          <w:rPr>
            <w:noProof/>
            <w:webHidden/>
          </w:rPr>
        </w:r>
        <w:r w:rsidR="00D418BF">
          <w:rPr>
            <w:noProof/>
            <w:webHidden/>
          </w:rPr>
          <w:fldChar w:fldCharType="separate"/>
        </w:r>
        <w:r w:rsidR="00AF1239">
          <w:rPr>
            <w:noProof/>
            <w:webHidden/>
          </w:rPr>
          <w:t>5</w:t>
        </w:r>
        <w:r w:rsidR="00D418BF">
          <w:rPr>
            <w:noProof/>
            <w:webHidden/>
          </w:rPr>
          <w:fldChar w:fldCharType="end"/>
        </w:r>
      </w:hyperlink>
    </w:p>
    <w:p w14:paraId="3FAD553C" w14:textId="2D8F5308"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5" w:history="1">
        <w:r w:rsidR="00D418BF" w:rsidRPr="0019388F">
          <w:rPr>
            <w:rStyle w:val="Hyperlink"/>
            <w:noProof/>
          </w:rPr>
          <w:t>Representation, collaboration and engagement</w:t>
        </w:r>
        <w:r w:rsidR="00D418BF">
          <w:rPr>
            <w:noProof/>
            <w:webHidden/>
          </w:rPr>
          <w:tab/>
        </w:r>
        <w:r w:rsidR="00D418BF">
          <w:rPr>
            <w:noProof/>
            <w:webHidden/>
          </w:rPr>
          <w:fldChar w:fldCharType="begin"/>
        </w:r>
        <w:r w:rsidR="00D418BF">
          <w:rPr>
            <w:noProof/>
            <w:webHidden/>
          </w:rPr>
          <w:instrText xml:space="preserve"> PAGEREF _Toc148363895 \h </w:instrText>
        </w:r>
        <w:r w:rsidR="00D418BF">
          <w:rPr>
            <w:noProof/>
            <w:webHidden/>
          </w:rPr>
        </w:r>
        <w:r w:rsidR="00D418BF">
          <w:rPr>
            <w:noProof/>
            <w:webHidden/>
          </w:rPr>
          <w:fldChar w:fldCharType="separate"/>
        </w:r>
        <w:r w:rsidR="00AF1239">
          <w:rPr>
            <w:noProof/>
            <w:webHidden/>
          </w:rPr>
          <w:t>5</w:t>
        </w:r>
        <w:r w:rsidR="00D418BF">
          <w:rPr>
            <w:noProof/>
            <w:webHidden/>
          </w:rPr>
          <w:fldChar w:fldCharType="end"/>
        </w:r>
      </w:hyperlink>
    </w:p>
    <w:p w14:paraId="77ABBBEE" w14:textId="082E5450"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6" w:history="1">
        <w:r w:rsidR="00D418BF" w:rsidRPr="0019388F">
          <w:rPr>
            <w:rStyle w:val="Hyperlink"/>
            <w:noProof/>
          </w:rPr>
          <w:t>Overlapping drivers for different forms of violence</w:t>
        </w:r>
        <w:r w:rsidR="00D418BF">
          <w:rPr>
            <w:noProof/>
            <w:webHidden/>
          </w:rPr>
          <w:tab/>
        </w:r>
        <w:r w:rsidR="00D418BF">
          <w:rPr>
            <w:noProof/>
            <w:webHidden/>
          </w:rPr>
          <w:fldChar w:fldCharType="begin"/>
        </w:r>
        <w:r w:rsidR="00D418BF">
          <w:rPr>
            <w:noProof/>
            <w:webHidden/>
          </w:rPr>
          <w:instrText xml:space="preserve"> PAGEREF _Toc148363896 \h </w:instrText>
        </w:r>
        <w:r w:rsidR="00D418BF">
          <w:rPr>
            <w:noProof/>
            <w:webHidden/>
          </w:rPr>
        </w:r>
        <w:r w:rsidR="00D418BF">
          <w:rPr>
            <w:noProof/>
            <w:webHidden/>
          </w:rPr>
          <w:fldChar w:fldCharType="separate"/>
        </w:r>
        <w:r w:rsidR="00AF1239">
          <w:rPr>
            <w:noProof/>
            <w:webHidden/>
          </w:rPr>
          <w:t>6</w:t>
        </w:r>
        <w:r w:rsidR="00D418BF">
          <w:rPr>
            <w:noProof/>
            <w:webHidden/>
          </w:rPr>
          <w:fldChar w:fldCharType="end"/>
        </w:r>
      </w:hyperlink>
    </w:p>
    <w:p w14:paraId="12559133" w14:textId="68E56C14"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7" w:history="1">
        <w:r w:rsidR="00D418BF" w:rsidRPr="0019388F">
          <w:rPr>
            <w:rStyle w:val="Hyperlink"/>
            <w:noProof/>
          </w:rPr>
          <w:t>Perpetration of violence</w:t>
        </w:r>
        <w:r w:rsidR="00D418BF">
          <w:rPr>
            <w:noProof/>
            <w:webHidden/>
          </w:rPr>
          <w:tab/>
        </w:r>
        <w:r w:rsidR="00D418BF">
          <w:rPr>
            <w:noProof/>
            <w:webHidden/>
          </w:rPr>
          <w:fldChar w:fldCharType="begin"/>
        </w:r>
        <w:r w:rsidR="00D418BF">
          <w:rPr>
            <w:noProof/>
            <w:webHidden/>
          </w:rPr>
          <w:instrText xml:space="preserve"> PAGEREF _Toc148363897 \h </w:instrText>
        </w:r>
        <w:r w:rsidR="00D418BF">
          <w:rPr>
            <w:noProof/>
            <w:webHidden/>
          </w:rPr>
        </w:r>
        <w:r w:rsidR="00D418BF">
          <w:rPr>
            <w:noProof/>
            <w:webHidden/>
          </w:rPr>
          <w:fldChar w:fldCharType="separate"/>
        </w:r>
        <w:r w:rsidR="00AF1239">
          <w:rPr>
            <w:noProof/>
            <w:webHidden/>
          </w:rPr>
          <w:t>6</w:t>
        </w:r>
        <w:r w:rsidR="00D418BF">
          <w:rPr>
            <w:noProof/>
            <w:webHidden/>
          </w:rPr>
          <w:fldChar w:fldCharType="end"/>
        </w:r>
      </w:hyperlink>
    </w:p>
    <w:p w14:paraId="77B00F31" w14:textId="1FE2C510" w:rsidR="00D418BF" w:rsidRDefault="00162736">
      <w:pPr>
        <w:pStyle w:val="TOC3"/>
        <w:tabs>
          <w:tab w:val="right" w:leader="dot" w:pos="10264"/>
        </w:tabs>
        <w:rPr>
          <w:rFonts w:asciiTheme="minorHAnsi" w:eastAsiaTheme="minorEastAsia" w:hAnsiTheme="minorHAnsi" w:cstheme="minorBidi"/>
          <w:noProof/>
          <w:color w:val="auto"/>
          <w:lang w:eastAsia="en-AU"/>
        </w:rPr>
      </w:pPr>
      <w:hyperlink w:anchor="_Toc148363898" w:history="1">
        <w:r w:rsidR="00D418BF" w:rsidRPr="0019388F">
          <w:rPr>
            <w:rStyle w:val="Hyperlink"/>
            <w:noProof/>
          </w:rPr>
          <w:t>Community attitudes</w:t>
        </w:r>
        <w:r w:rsidR="00D418BF">
          <w:rPr>
            <w:noProof/>
            <w:webHidden/>
          </w:rPr>
          <w:tab/>
        </w:r>
        <w:r w:rsidR="00D418BF">
          <w:rPr>
            <w:noProof/>
            <w:webHidden/>
          </w:rPr>
          <w:fldChar w:fldCharType="begin"/>
        </w:r>
        <w:r w:rsidR="00D418BF">
          <w:rPr>
            <w:noProof/>
            <w:webHidden/>
          </w:rPr>
          <w:instrText xml:space="preserve"> PAGEREF _Toc148363898 \h </w:instrText>
        </w:r>
        <w:r w:rsidR="00D418BF">
          <w:rPr>
            <w:noProof/>
            <w:webHidden/>
          </w:rPr>
        </w:r>
        <w:r w:rsidR="00D418BF">
          <w:rPr>
            <w:noProof/>
            <w:webHidden/>
          </w:rPr>
          <w:fldChar w:fldCharType="separate"/>
        </w:r>
        <w:r w:rsidR="00AF1239">
          <w:rPr>
            <w:noProof/>
            <w:webHidden/>
          </w:rPr>
          <w:t>7</w:t>
        </w:r>
        <w:r w:rsidR="00D418BF">
          <w:rPr>
            <w:noProof/>
            <w:webHidden/>
          </w:rPr>
          <w:fldChar w:fldCharType="end"/>
        </w:r>
      </w:hyperlink>
    </w:p>
    <w:p w14:paraId="3843B773" w14:textId="1E76D728" w:rsidR="00D418BF" w:rsidRPr="00D418BF" w:rsidRDefault="00162736" w:rsidP="00D418BF">
      <w:pPr>
        <w:pStyle w:val="TOC2"/>
        <w:rPr>
          <w:rFonts w:asciiTheme="minorHAnsi" w:eastAsiaTheme="minorEastAsia" w:hAnsiTheme="minorHAnsi" w:cstheme="minorBidi"/>
          <w:color w:val="auto"/>
          <w:szCs w:val="22"/>
          <w:lang w:eastAsia="en-AU"/>
        </w:rPr>
      </w:pPr>
      <w:hyperlink w:anchor="_Toc148363899" w:history="1">
        <w:r w:rsidR="00D418BF" w:rsidRPr="00D418BF">
          <w:rPr>
            <w:rStyle w:val="Hyperlink"/>
          </w:rPr>
          <w:t>Summary and implications</w:t>
        </w:r>
        <w:r w:rsidR="00D418BF" w:rsidRPr="00D418BF">
          <w:rPr>
            <w:webHidden/>
          </w:rPr>
          <w:tab/>
        </w:r>
        <w:r w:rsidR="00D418BF" w:rsidRPr="00D418BF">
          <w:rPr>
            <w:webHidden/>
          </w:rPr>
          <w:fldChar w:fldCharType="begin"/>
        </w:r>
        <w:r w:rsidR="00D418BF" w:rsidRPr="00D418BF">
          <w:rPr>
            <w:webHidden/>
          </w:rPr>
          <w:instrText xml:space="preserve"> PAGEREF _Toc148363899 \h </w:instrText>
        </w:r>
        <w:r w:rsidR="00D418BF" w:rsidRPr="00D418BF">
          <w:rPr>
            <w:webHidden/>
          </w:rPr>
        </w:r>
        <w:r w:rsidR="00D418BF" w:rsidRPr="00D418BF">
          <w:rPr>
            <w:webHidden/>
          </w:rPr>
          <w:fldChar w:fldCharType="separate"/>
        </w:r>
        <w:r w:rsidR="00AF1239">
          <w:rPr>
            <w:webHidden/>
          </w:rPr>
          <w:t>7</w:t>
        </w:r>
        <w:r w:rsidR="00D418BF" w:rsidRPr="00D418BF">
          <w:rPr>
            <w:webHidden/>
          </w:rPr>
          <w:fldChar w:fldCharType="end"/>
        </w:r>
      </w:hyperlink>
    </w:p>
    <w:p w14:paraId="27420E14" w14:textId="18E178F1" w:rsidR="008E7E18" w:rsidRDefault="00D83132" w:rsidP="00D83132">
      <w:pPr>
        <w:spacing w:line="259" w:lineRule="auto"/>
        <w:rPr>
          <w:noProof/>
        </w:rPr>
      </w:pPr>
      <w:r>
        <w:rPr>
          <w:noProof/>
        </w:rPr>
        <w:fldChar w:fldCharType="end"/>
      </w:r>
      <w:r w:rsidR="008E7E18">
        <w:rPr>
          <w:noProof/>
        </w:rPr>
        <w:br w:type="page"/>
      </w:r>
    </w:p>
    <w:p w14:paraId="2C22E597" w14:textId="5208665B" w:rsidR="00193FB2" w:rsidRDefault="00D66107" w:rsidP="0061778B">
      <w:pPr>
        <w:pStyle w:val="Heading2"/>
        <w:rPr>
          <w:lang w:val="en-GB"/>
        </w:rPr>
      </w:pPr>
      <w:bookmarkStart w:id="0" w:name="_Toc148363889"/>
      <w:r>
        <w:rPr>
          <w:lang w:val="en-GB"/>
        </w:rPr>
        <w:t>B</w:t>
      </w:r>
      <w:r w:rsidR="00AF3715">
        <w:rPr>
          <w:lang w:val="en-GB"/>
        </w:rPr>
        <w:t>ackground</w:t>
      </w:r>
      <w:bookmarkEnd w:id="0"/>
    </w:p>
    <w:p w14:paraId="0457C645" w14:textId="223262F3" w:rsidR="00BD2B0D" w:rsidRPr="004222CC" w:rsidRDefault="00BD2B0D" w:rsidP="00BD2B0D">
      <w:pPr>
        <w:rPr>
          <w:noProof/>
        </w:rPr>
      </w:pPr>
      <w:r w:rsidRPr="004222CC">
        <w:rPr>
          <w:noProof/>
        </w:rPr>
        <w:t xml:space="preserve">On </w:t>
      </w:r>
      <w:r w:rsidR="009212C4">
        <w:rPr>
          <w:noProof/>
        </w:rPr>
        <w:t xml:space="preserve">15 </w:t>
      </w:r>
      <w:r w:rsidRPr="004222CC">
        <w:rPr>
          <w:noProof/>
        </w:rPr>
        <w:t>August</w:t>
      </w:r>
      <w:r w:rsidR="00A6131B">
        <w:rPr>
          <w:noProof/>
        </w:rPr>
        <w:t xml:space="preserve"> </w:t>
      </w:r>
      <w:r w:rsidRPr="004222CC">
        <w:rPr>
          <w:noProof/>
        </w:rPr>
        <w:t>2023 Respect Victoria convened</w:t>
      </w:r>
      <w:r w:rsidRPr="004222CC">
        <w:rPr>
          <w:noProof/>
          <w:vertAlign w:val="superscript"/>
        </w:rPr>
        <w:t xml:space="preserve"> </w:t>
      </w:r>
      <w:r w:rsidRPr="004222CC">
        <w:rPr>
          <w:noProof/>
        </w:rPr>
        <w:t>a half-day research symposium</w:t>
      </w:r>
      <w:r w:rsidR="00AC0FB6">
        <w:rPr>
          <w:noProof/>
        </w:rPr>
        <w:t xml:space="preserve"> in Melbourne. This brough together</w:t>
      </w:r>
      <w:r w:rsidRPr="004222CC">
        <w:rPr>
          <w:noProof/>
        </w:rPr>
        <w:t xml:space="preserve"> key actors in the primary prevention research community</w:t>
      </w:r>
      <w:r w:rsidR="009A6556">
        <w:rPr>
          <w:noProof/>
        </w:rPr>
        <w:t>:</w:t>
      </w:r>
      <w:r w:rsidRPr="004222CC">
        <w:rPr>
          <w:noProof/>
        </w:rPr>
        <w:t xml:space="preserve"> researchers focused on primary prevention, prevention sector actors engaged in research, and government partners in the family violence sector. </w:t>
      </w:r>
      <w:r w:rsidR="00925ED9" w:rsidRPr="004222CC">
        <w:rPr>
          <w:noProof/>
        </w:rPr>
        <w:t>The aim of the symposium was to reinvigorate shared conversations about critical, overarching issues in primary prevention of violence against women and family violence that require greater collective research and knowledge building efforts.</w:t>
      </w:r>
      <w:r w:rsidR="00925ED9" w:rsidRPr="004222CC">
        <w:t xml:space="preserve"> </w:t>
      </w:r>
    </w:p>
    <w:p w14:paraId="26F25FC3" w14:textId="3F451116" w:rsidR="00556790" w:rsidRDefault="00444479" w:rsidP="00444479">
      <w:pPr>
        <w:tabs>
          <w:tab w:val="num" w:pos="720"/>
        </w:tabs>
        <w:rPr>
          <w:noProof/>
        </w:rPr>
      </w:pPr>
      <w:r w:rsidRPr="00444479">
        <w:rPr>
          <w:noProof/>
        </w:rPr>
        <w:t>Respect Victoria has a legislative remit to build evidence about primary prevention and to help to translate findings from research</w:t>
      </w:r>
      <w:r>
        <w:rPr>
          <w:noProof/>
        </w:rPr>
        <w:t>,</w:t>
      </w:r>
      <w:r w:rsidRPr="00444479">
        <w:rPr>
          <w:noProof/>
        </w:rPr>
        <w:t xml:space="preserve"> monitoring and evaluation to support government</w:t>
      </w:r>
      <w:r w:rsidR="00925ED9">
        <w:rPr>
          <w:noProof/>
        </w:rPr>
        <w:t xml:space="preserve"> and inform policy and practice</w:t>
      </w:r>
      <w:r>
        <w:rPr>
          <w:noProof/>
        </w:rPr>
        <w:t>. This</w:t>
      </w:r>
      <w:r w:rsidR="000662DB" w:rsidRPr="000662DB">
        <w:rPr>
          <w:noProof/>
        </w:rPr>
        <w:t xml:space="preserve"> requires</w:t>
      </w:r>
      <w:r w:rsidR="00535F1F">
        <w:rPr>
          <w:noProof/>
        </w:rPr>
        <w:t xml:space="preserve"> concerted</w:t>
      </w:r>
      <w:r w:rsidR="000662DB" w:rsidRPr="000662DB">
        <w:rPr>
          <w:noProof/>
        </w:rPr>
        <w:t xml:space="preserve"> attention to research and knowledge building, particularly through partnerships and collaboration</w:t>
      </w:r>
      <w:r>
        <w:rPr>
          <w:noProof/>
        </w:rPr>
        <w:t xml:space="preserve">. </w:t>
      </w:r>
    </w:p>
    <w:p w14:paraId="396FA684" w14:textId="5A313BDC" w:rsidR="000662DB" w:rsidRDefault="000662DB" w:rsidP="00444479">
      <w:pPr>
        <w:tabs>
          <w:tab w:val="num" w:pos="720"/>
        </w:tabs>
        <w:rPr>
          <w:noProof/>
        </w:rPr>
      </w:pPr>
      <w:r w:rsidRPr="000662DB">
        <w:rPr>
          <w:noProof/>
        </w:rPr>
        <w:t xml:space="preserve">It is critical that </w:t>
      </w:r>
      <w:r w:rsidR="00925ED9">
        <w:rPr>
          <w:noProof/>
        </w:rPr>
        <w:t xml:space="preserve">Respect Victoria </w:t>
      </w:r>
      <w:r w:rsidRPr="000662DB">
        <w:rPr>
          <w:noProof/>
        </w:rPr>
        <w:t xml:space="preserve">have strong relationships with colleagues working on research that addresses all forms </w:t>
      </w:r>
      <w:r w:rsidR="00444479">
        <w:rPr>
          <w:noProof/>
        </w:rPr>
        <w:t xml:space="preserve">of violence against women and family violence so </w:t>
      </w:r>
      <w:r w:rsidRPr="000662DB">
        <w:rPr>
          <w:noProof/>
        </w:rPr>
        <w:t>that we can mutually inform</w:t>
      </w:r>
      <w:r w:rsidR="00535F1F">
        <w:rPr>
          <w:noProof/>
        </w:rPr>
        <w:t>, learn from</w:t>
      </w:r>
      <w:r w:rsidRPr="000662DB">
        <w:rPr>
          <w:noProof/>
        </w:rPr>
        <w:t xml:space="preserve"> and engage with each others’ work. One of our objectives in convening this symposium </w:t>
      </w:r>
      <w:r w:rsidR="00925ED9">
        <w:rPr>
          <w:noProof/>
        </w:rPr>
        <w:t>was</w:t>
      </w:r>
      <w:r w:rsidRPr="000662DB">
        <w:rPr>
          <w:noProof/>
        </w:rPr>
        <w:t xml:space="preserve"> to start exploring how we can build </w:t>
      </w:r>
      <w:r w:rsidR="005629F9">
        <w:rPr>
          <w:noProof/>
        </w:rPr>
        <w:t xml:space="preserve">and sustain </w:t>
      </w:r>
      <w:r w:rsidRPr="000662DB">
        <w:rPr>
          <w:noProof/>
        </w:rPr>
        <w:t>relationships oriented to knowledge building about all forms of family violence</w:t>
      </w:r>
      <w:r w:rsidR="00027657">
        <w:rPr>
          <w:noProof/>
        </w:rPr>
        <w:t xml:space="preserve"> and violence against women</w:t>
      </w:r>
      <w:r w:rsidRPr="000662DB">
        <w:rPr>
          <w:noProof/>
        </w:rPr>
        <w:t xml:space="preserve"> prevention</w:t>
      </w:r>
      <w:r w:rsidR="00457931">
        <w:rPr>
          <w:noProof/>
        </w:rPr>
        <w:t>.</w:t>
      </w:r>
      <w:r w:rsidRPr="000662DB">
        <w:rPr>
          <w:noProof/>
        </w:rPr>
        <w:t xml:space="preserve"> </w:t>
      </w:r>
    </w:p>
    <w:p w14:paraId="5D046C47" w14:textId="21771935" w:rsidR="000662DB" w:rsidRPr="000662DB" w:rsidRDefault="00F5305D" w:rsidP="00925ED9">
      <w:pPr>
        <w:pStyle w:val="Heading2"/>
        <w:rPr>
          <w:lang w:val="en-GB"/>
        </w:rPr>
      </w:pPr>
      <w:bookmarkStart w:id="1" w:name="_Toc148363890"/>
      <w:r>
        <w:rPr>
          <w:lang w:val="en-GB"/>
        </w:rPr>
        <w:t>Facilitation and participation</w:t>
      </w:r>
      <w:bookmarkEnd w:id="1"/>
      <w:r w:rsidR="00925ED9">
        <w:rPr>
          <w:lang w:val="en-GB"/>
        </w:rPr>
        <w:t xml:space="preserve"> </w:t>
      </w:r>
    </w:p>
    <w:p w14:paraId="6FD5259C" w14:textId="103C79E5" w:rsidR="000F52C4" w:rsidRPr="00954681" w:rsidRDefault="00925ED9" w:rsidP="00BD2B0D">
      <w:pPr>
        <w:rPr>
          <w:noProof/>
        </w:rPr>
      </w:pPr>
      <w:r w:rsidRPr="00954681">
        <w:rPr>
          <w:noProof/>
        </w:rPr>
        <w:t>The symposium was facilitated by Maria Dimopoulo</w:t>
      </w:r>
      <w:r w:rsidR="00E05AC8" w:rsidRPr="00954681">
        <w:rPr>
          <w:noProof/>
        </w:rPr>
        <w:t>s</w:t>
      </w:r>
      <w:r w:rsidR="00F5305D" w:rsidRPr="00954681">
        <w:rPr>
          <w:noProof/>
        </w:rPr>
        <w:t xml:space="preserve"> alongside</w:t>
      </w:r>
      <w:r w:rsidR="00E05AC8" w:rsidRPr="00954681">
        <w:rPr>
          <w:noProof/>
        </w:rPr>
        <w:t xml:space="preserve"> </w:t>
      </w:r>
      <w:r w:rsidRPr="00954681">
        <w:rPr>
          <w:noProof/>
        </w:rPr>
        <w:t>Georgi</w:t>
      </w:r>
      <w:r w:rsidR="00E05AC8" w:rsidRPr="00954681">
        <w:rPr>
          <w:noProof/>
        </w:rPr>
        <w:t>a</w:t>
      </w:r>
      <w:r w:rsidRPr="00954681">
        <w:rPr>
          <w:noProof/>
        </w:rPr>
        <w:t xml:space="preserve"> Prattis as rapporteur</w:t>
      </w:r>
      <w:r w:rsidR="00E05AC8" w:rsidRPr="00954681">
        <w:rPr>
          <w:noProof/>
        </w:rPr>
        <w:t xml:space="preserve"> (both</w:t>
      </w:r>
      <w:r w:rsidRPr="00954681">
        <w:rPr>
          <w:noProof/>
        </w:rPr>
        <w:t xml:space="preserve"> from Myriad Kofkin Global</w:t>
      </w:r>
      <w:r w:rsidR="00E05AC8" w:rsidRPr="00954681">
        <w:rPr>
          <w:noProof/>
        </w:rPr>
        <w:t xml:space="preserve">). </w:t>
      </w:r>
      <w:r w:rsidR="000F52C4" w:rsidRPr="00954681">
        <w:rPr>
          <w:noProof/>
        </w:rPr>
        <w:t xml:space="preserve">The </w:t>
      </w:r>
      <w:r w:rsidR="00954681" w:rsidRPr="00954681">
        <w:rPr>
          <w:noProof/>
        </w:rPr>
        <w:t xml:space="preserve">Myriad Kofkin </w:t>
      </w:r>
      <w:r w:rsidR="000F52C4" w:rsidRPr="00954681">
        <w:rPr>
          <w:noProof/>
        </w:rPr>
        <w:t xml:space="preserve">team also contributed to </w:t>
      </w:r>
      <w:r w:rsidR="00E8058F">
        <w:rPr>
          <w:noProof/>
        </w:rPr>
        <w:t xml:space="preserve">development of </w:t>
      </w:r>
      <w:r w:rsidR="000F52C4" w:rsidRPr="00954681">
        <w:rPr>
          <w:noProof/>
        </w:rPr>
        <w:t xml:space="preserve">this summary report. </w:t>
      </w:r>
    </w:p>
    <w:p w14:paraId="681E33EA" w14:textId="708A0FFE" w:rsidR="00574350" w:rsidRPr="00954681" w:rsidRDefault="00BD2B0D" w:rsidP="00BD2B0D">
      <w:pPr>
        <w:rPr>
          <w:noProof/>
        </w:rPr>
      </w:pPr>
      <w:r w:rsidRPr="00954681">
        <w:rPr>
          <w:noProof/>
        </w:rPr>
        <w:t>Thirty participants from 18 organisations were in attendance</w:t>
      </w:r>
      <w:r w:rsidR="000F52C4" w:rsidRPr="00954681">
        <w:rPr>
          <w:noProof/>
        </w:rPr>
        <w:t xml:space="preserve"> at the symposium</w:t>
      </w:r>
      <w:r w:rsidRPr="00954681">
        <w:rPr>
          <w:noProof/>
        </w:rPr>
        <w:t xml:space="preserve">. </w:t>
      </w:r>
      <w:r w:rsidR="00A22BE9">
        <w:rPr>
          <w:noProof/>
        </w:rPr>
        <w:t>T</w:t>
      </w:r>
      <w:r w:rsidRPr="00954681">
        <w:rPr>
          <w:noProof/>
        </w:rPr>
        <w:t xml:space="preserve">he event offered an opportunity to build and strengthen relationships and discuss synergies across participants’ knowledge-building work in primary prevention. </w:t>
      </w:r>
      <w:r w:rsidR="00940C92" w:rsidRPr="00954681">
        <w:rPr>
          <w:noProof/>
        </w:rPr>
        <w:t xml:space="preserve">The discussions were characterised by respectful listening, introspection, and openness. </w:t>
      </w:r>
    </w:p>
    <w:p w14:paraId="6C6E94C0" w14:textId="77777777" w:rsidR="000D07D9" w:rsidRPr="00954681" w:rsidRDefault="000D07D9" w:rsidP="000D07D9">
      <w:r w:rsidRPr="00954681">
        <w:t>The symposium centred on three main questions:</w:t>
      </w:r>
    </w:p>
    <w:p w14:paraId="694D721F" w14:textId="77777777" w:rsidR="000D07D9" w:rsidRPr="00954681" w:rsidRDefault="000D07D9" w:rsidP="000D07D9">
      <w:pPr>
        <w:numPr>
          <w:ilvl w:val="0"/>
          <w:numId w:val="13"/>
        </w:numPr>
        <w:spacing w:after="0"/>
        <w:rPr>
          <w:rFonts w:eastAsia="Times New Roman"/>
        </w:rPr>
      </w:pPr>
      <w:r w:rsidRPr="00954681">
        <w:rPr>
          <w:rFonts w:eastAsia="Times New Roman"/>
        </w:rPr>
        <w:t>What does (or can) research do to progress primary prevention of family violence/violence against women (FV/VAW)?</w:t>
      </w:r>
    </w:p>
    <w:p w14:paraId="5B201083" w14:textId="77777777" w:rsidR="000D07D9" w:rsidRPr="00954681" w:rsidRDefault="000D07D9" w:rsidP="000D07D9">
      <w:pPr>
        <w:numPr>
          <w:ilvl w:val="0"/>
          <w:numId w:val="13"/>
        </w:numPr>
        <w:spacing w:after="0"/>
        <w:rPr>
          <w:rFonts w:eastAsia="Times New Roman"/>
        </w:rPr>
      </w:pPr>
      <w:r w:rsidRPr="00954681">
        <w:rPr>
          <w:rFonts w:eastAsia="Times New Roman"/>
        </w:rPr>
        <w:t>What are the strengths of the primary prevention of FV/VAW research landscape in Australia?</w:t>
      </w:r>
    </w:p>
    <w:p w14:paraId="78265817" w14:textId="7CBAE2A4" w:rsidR="000D07D9" w:rsidRPr="00954681" w:rsidRDefault="000D07D9" w:rsidP="000D07D9">
      <w:pPr>
        <w:numPr>
          <w:ilvl w:val="0"/>
          <w:numId w:val="13"/>
        </w:numPr>
        <w:spacing w:after="0"/>
        <w:rPr>
          <w:rFonts w:eastAsia="Times New Roman"/>
        </w:rPr>
      </w:pPr>
      <w:r w:rsidRPr="00954681">
        <w:rPr>
          <w:rFonts w:eastAsia="Times New Roman"/>
        </w:rPr>
        <w:t xml:space="preserve">What gaps or big unanswered questions do you see as a priority for primary prevention research in </w:t>
      </w:r>
      <w:r w:rsidR="00457931">
        <w:rPr>
          <w:rFonts w:eastAsia="Times New Roman"/>
        </w:rPr>
        <w:t xml:space="preserve">Victoria and </w:t>
      </w:r>
      <w:r w:rsidR="00576DCC">
        <w:rPr>
          <w:rFonts w:eastAsia="Times New Roman"/>
        </w:rPr>
        <w:t>nationally</w:t>
      </w:r>
      <w:r w:rsidRPr="00954681">
        <w:rPr>
          <w:rFonts w:eastAsia="Times New Roman"/>
        </w:rPr>
        <w:t>?</w:t>
      </w:r>
    </w:p>
    <w:p w14:paraId="4312CA5D" w14:textId="77777777" w:rsidR="004666B7" w:rsidRPr="00954681" w:rsidRDefault="004666B7" w:rsidP="004666B7">
      <w:pPr>
        <w:spacing w:after="0"/>
        <w:rPr>
          <w:rFonts w:eastAsia="Times New Roman"/>
        </w:rPr>
      </w:pPr>
    </w:p>
    <w:p w14:paraId="3AE7E553" w14:textId="2CBE9D54" w:rsidR="00B70313" w:rsidRPr="00954681" w:rsidRDefault="000D07D9" w:rsidP="00B70313">
      <w:pPr>
        <w:rPr>
          <w:noProof/>
        </w:rPr>
      </w:pPr>
      <w:r w:rsidRPr="00954681">
        <w:rPr>
          <w:noProof/>
        </w:rPr>
        <w:t xml:space="preserve">Participants were invited to reflect on these questions in advance of the symposium and share their thoughts with the facilitators by email. Responses from </w:t>
      </w:r>
      <w:r w:rsidR="00DF05B2" w:rsidRPr="00954681">
        <w:rPr>
          <w:noProof/>
        </w:rPr>
        <w:t xml:space="preserve">several </w:t>
      </w:r>
      <w:r w:rsidRPr="00954681">
        <w:rPr>
          <w:noProof/>
        </w:rPr>
        <w:t xml:space="preserve">participants were summarised and presented at the symposium. Through a facilitated open discussion, participants then had the opportunity to reflect on these questions in the context of the current policy and practice landscape in Victoria and nationally. </w:t>
      </w:r>
    </w:p>
    <w:p w14:paraId="1E57B152" w14:textId="37686498" w:rsidR="00C77FB3" w:rsidRDefault="0061778B" w:rsidP="0061778B">
      <w:pPr>
        <w:pStyle w:val="Heading2"/>
        <w:rPr>
          <w:lang w:val="en-GB"/>
        </w:rPr>
      </w:pPr>
      <w:bookmarkStart w:id="2" w:name="_Toc148363891"/>
      <w:r>
        <w:rPr>
          <w:lang w:val="en-GB"/>
        </w:rPr>
        <w:t>K</w:t>
      </w:r>
      <w:r w:rsidR="00836A8D">
        <w:rPr>
          <w:lang w:val="en-GB"/>
        </w:rPr>
        <w:t xml:space="preserve">ey </w:t>
      </w:r>
      <w:r w:rsidR="002F50B9">
        <w:rPr>
          <w:lang w:val="en-GB"/>
        </w:rPr>
        <w:t>discussion points and</w:t>
      </w:r>
      <w:r w:rsidR="00F24CE3">
        <w:rPr>
          <w:lang w:val="en-GB"/>
        </w:rPr>
        <w:t xml:space="preserve"> </w:t>
      </w:r>
      <w:r w:rsidR="00836A8D">
        <w:rPr>
          <w:lang w:val="en-GB"/>
        </w:rPr>
        <w:t>opportunities for primary prevention research</w:t>
      </w:r>
      <w:bookmarkEnd w:id="2"/>
    </w:p>
    <w:p w14:paraId="25B936FE" w14:textId="41E010BB" w:rsidR="00B74390" w:rsidRDefault="00B74390" w:rsidP="00B74390">
      <w:r w:rsidRPr="004222CC">
        <w:t xml:space="preserve">The main themes raised, both in advance of the symposium and in the facilitated discussion, are summarised below. This report presents </w:t>
      </w:r>
      <w:r w:rsidR="009E0966">
        <w:t>the i</w:t>
      </w:r>
      <w:r w:rsidRPr="004222CC">
        <w:t xml:space="preserve">deas raised under each theme in no </w:t>
      </w:r>
      <w:proofErr w:type="gramStart"/>
      <w:r w:rsidRPr="004222CC">
        <w:t>particular order</w:t>
      </w:r>
      <w:proofErr w:type="gramEnd"/>
      <w:r w:rsidR="00DB77AE">
        <w:t>. T</w:t>
      </w:r>
      <w:r w:rsidR="00556790">
        <w:t xml:space="preserve">he </w:t>
      </w:r>
      <w:r w:rsidR="00602AF6">
        <w:t>order</w:t>
      </w:r>
      <w:r w:rsidR="00556790">
        <w:t xml:space="preserve"> in which they are listed</w:t>
      </w:r>
      <w:r w:rsidR="00602AF6">
        <w:t xml:space="preserve"> does not</w:t>
      </w:r>
      <w:r w:rsidRPr="004222CC">
        <w:t xml:space="preserve"> reflect </w:t>
      </w:r>
      <w:r w:rsidR="000E5962">
        <w:t>consensus among participants</w:t>
      </w:r>
      <w:r w:rsidR="00A54A5D">
        <w:t xml:space="preserve"> or the weight of each topic in the discussion</w:t>
      </w:r>
      <w:r w:rsidR="00204909">
        <w:t>; nor should they be read as the</w:t>
      </w:r>
      <w:r w:rsidR="00027657">
        <w:t xml:space="preserve"> express</w:t>
      </w:r>
      <w:r w:rsidR="00204909">
        <w:t xml:space="preserve"> position of Respect Victoria as forum convenor</w:t>
      </w:r>
      <w:r w:rsidR="00B36DFF">
        <w:t>.</w:t>
      </w:r>
    </w:p>
    <w:p w14:paraId="1AAB26FE" w14:textId="77777777" w:rsidR="00556790" w:rsidRPr="004222CC" w:rsidRDefault="00556790" w:rsidP="00B74390"/>
    <w:p w14:paraId="4D7F759B" w14:textId="57FAA956" w:rsidR="00B74390" w:rsidRPr="00B54E0E" w:rsidRDefault="00374D70" w:rsidP="00D418BF">
      <w:pPr>
        <w:pStyle w:val="Heading3"/>
      </w:pPr>
      <w:bookmarkStart w:id="3" w:name="_Toc148363892"/>
      <w:r>
        <w:t>The relationship between primary prevention research</w:t>
      </w:r>
      <w:r w:rsidR="003018E9">
        <w:t>,</w:t>
      </w:r>
      <w:r>
        <w:t xml:space="preserve"> </w:t>
      </w:r>
      <w:proofErr w:type="gramStart"/>
      <w:r>
        <w:t>practice</w:t>
      </w:r>
      <w:proofErr w:type="gramEnd"/>
      <w:r w:rsidR="003018E9">
        <w:t xml:space="preserve"> and policy</w:t>
      </w:r>
      <w:bookmarkEnd w:id="3"/>
    </w:p>
    <w:p w14:paraId="6ECEDBA3" w14:textId="0917CBC8" w:rsidR="00B54E0E" w:rsidRPr="00B54E0E" w:rsidRDefault="00B54E0E" w:rsidP="00D418BF">
      <w:pPr>
        <w:pStyle w:val="Heading5"/>
      </w:pPr>
      <w:r w:rsidRPr="00B54E0E">
        <w:t>Key discussion points</w:t>
      </w:r>
    </w:p>
    <w:p w14:paraId="3540254A" w14:textId="77777777" w:rsidR="00556790" w:rsidRDefault="002654E9" w:rsidP="00B54E0E">
      <w:pPr>
        <w:pStyle w:val="ListParagraph"/>
        <w:numPr>
          <w:ilvl w:val="0"/>
          <w:numId w:val="17"/>
        </w:numPr>
        <w:spacing w:after="0"/>
        <w:contextualSpacing w:val="0"/>
      </w:pPr>
      <w:r w:rsidRPr="00B54E0E">
        <w:t>T</w:t>
      </w:r>
      <w:r w:rsidR="00B74390" w:rsidRPr="00B54E0E">
        <w:t>he primary prevention research community ha</w:t>
      </w:r>
      <w:r w:rsidRPr="00B54E0E">
        <w:t>s</w:t>
      </w:r>
      <w:r w:rsidR="00B74390" w:rsidRPr="00B54E0E">
        <w:t xml:space="preserve"> a role in</w:t>
      </w:r>
      <w:r w:rsidR="00556790">
        <w:t>:</w:t>
      </w:r>
    </w:p>
    <w:p w14:paraId="3217DB50" w14:textId="1C1B8E12" w:rsidR="00597470" w:rsidRDefault="00B74390" w:rsidP="00556790">
      <w:pPr>
        <w:pStyle w:val="ListParagraph"/>
        <w:numPr>
          <w:ilvl w:val="1"/>
          <w:numId w:val="17"/>
        </w:numPr>
        <w:spacing w:after="0"/>
        <w:contextualSpacing w:val="0"/>
      </w:pPr>
      <w:r w:rsidRPr="00B54E0E">
        <w:t>evaluati</w:t>
      </w:r>
      <w:r w:rsidR="00E57520" w:rsidRPr="00B54E0E">
        <w:t>ng</w:t>
      </w:r>
      <w:r w:rsidRPr="00B54E0E">
        <w:t xml:space="preserve"> and testing primary prevention interventions to </w:t>
      </w:r>
      <w:r w:rsidR="00E57520" w:rsidRPr="00B54E0E">
        <w:t xml:space="preserve">develop evidence about </w:t>
      </w:r>
      <w:r w:rsidRPr="00B54E0E">
        <w:t>effective prevention strategie</w:t>
      </w:r>
      <w:r w:rsidR="00B54E0E">
        <w:t xml:space="preserve">s </w:t>
      </w:r>
    </w:p>
    <w:p w14:paraId="163129E9" w14:textId="5E5CB9C4" w:rsidR="00556790" w:rsidRDefault="00597470" w:rsidP="00556790">
      <w:pPr>
        <w:pStyle w:val="ListParagraph"/>
        <w:numPr>
          <w:ilvl w:val="1"/>
          <w:numId w:val="17"/>
        </w:numPr>
        <w:spacing w:after="0"/>
        <w:contextualSpacing w:val="0"/>
      </w:pPr>
      <w:r>
        <w:t xml:space="preserve">making sense of evaluative evidence to </w:t>
      </w:r>
      <w:r w:rsidR="005F5DFE">
        <w:t xml:space="preserve">inform continuous improvement of primary prevention frameworks, </w:t>
      </w:r>
      <w:r w:rsidR="00B54E0E">
        <w:t xml:space="preserve">and </w:t>
      </w:r>
    </w:p>
    <w:p w14:paraId="09BA4051" w14:textId="2EE5D3F0" w:rsidR="00B54E0E" w:rsidRPr="00B54E0E" w:rsidRDefault="00B54E0E" w:rsidP="00556790">
      <w:pPr>
        <w:pStyle w:val="ListParagraph"/>
        <w:numPr>
          <w:ilvl w:val="1"/>
          <w:numId w:val="17"/>
        </w:numPr>
        <w:spacing w:after="0"/>
        <w:contextualSpacing w:val="0"/>
      </w:pPr>
      <w:r>
        <w:t xml:space="preserve">informing </w:t>
      </w:r>
      <w:r w:rsidRPr="00B54E0E">
        <w:t xml:space="preserve">interventions on family and domestic violence and </w:t>
      </w:r>
      <w:r>
        <w:t xml:space="preserve">support </w:t>
      </w:r>
      <w:r w:rsidRPr="00B54E0E">
        <w:t xml:space="preserve">translation of findings into </w:t>
      </w:r>
      <w:r w:rsidR="005F5DFE">
        <w:t xml:space="preserve">primary prevention, early intervention, response and recovery </w:t>
      </w:r>
      <w:r w:rsidRPr="00B54E0E">
        <w:t>practice</w:t>
      </w:r>
      <w:r w:rsidR="00AF139D">
        <w:t xml:space="preserve"> and policy</w:t>
      </w:r>
      <w:r w:rsidR="00077D16">
        <w:t>.</w:t>
      </w:r>
      <w:r w:rsidRPr="00B54E0E">
        <w:t xml:space="preserve"> </w:t>
      </w:r>
    </w:p>
    <w:p w14:paraId="5559CCFB" w14:textId="78BFCB52" w:rsidR="00B54E0E" w:rsidRDefault="00191CF9" w:rsidP="00B74390">
      <w:pPr>
        <w:pStyle w:val="ListParagraph"/>
        <w:numPr>
          <w:ilvl w:val="0"/>
          <w:numId w:val="17"/>
        </w:numPr>
        <w:spacing w:after="0"/>
        <w:contextualSpacing w:val="0"/>
      </w:pPr>
      <w:r>
        <w:t>C</w:t>
      </w:r>
      <w:r w:rsidR="0017570E" w:rsidRPr="00B54E0E">
        <w:t>ertain forms of academic research</w:t>
      </w:r>
      <w:r w:rsidR="001F37A8">
        <w:t xml:space="preserve"> or thresholds of evidence</w:t>
      </w:r>
      <w:r w:rsidR="0017570E" w:rsidRPr="00B54E0E">
        <w:t xml:space="preserve"> </w:t>
      </w:r>
      <w:r>
        <w:t xml:space="preserve">are often prioritised </w:t>
      </w:r>
      <w:r w:rsidR="0017570E" w:rsidRPr="00B54E0E">
        <w:t xml:space="preserve">over other forms of </w:t>
      </w:r>
      <w:r>
        <w:t>knowledge building</w:t>
      </w:r>
      <w:r w:rsidR="00F06C4F">
        <w:t xml:space="preserve"> in primary prevention</w:t>
      </w:r>
      <w:r w:rsidR="0017570E" w:rsidRPr="00B54E0E">
        <w:t xml:space="preserve">, </w:t>
      </w:r>
      <w:r w:rsidR="00077D16">
        <w:t xml:space="preserve">with participants noting this was </w:t>
      </w:r>
      <w:r w:rsidR="0017570E" w:rsidRPr="00B54E0E">
        <w:t>particularly</w:t>
      </w:r>
      <w:r w:rsidR="00077D16">
        <w:t xml:space="preserve"> true for</w:t>
      </w:r>
      <w:r w:rsidR="005F5DFE">
        <w:t xml:space="preserve"> research</w:t>
      </w:r>
      <w:r w:rsidR="00E361C4">
        <w:t xml:space="preserve"> conducted by community-based organisations or groups</w:t>
      </w:r>
      <w:r w:rsidR="00F06C4F">
        <w:t>. This</w:t>
      </w:r>
      <w:r w:rsidR="0017570E" w:rsidRPr="00B54E0E">
        <w:t xml:space="preserve"> reinforces perceived hierarchies of evidence that may detract from findings </w:t>
      </w:r>
      <w:r w:rsidR="0024481A">
        <w:t xml:space="preserve">that </w:t>
      </w:r>
      <w:r w:rsidR="00906C4C">
        <w:t>are still</w:t>
      </w:r>
      <w:r w:rsidR="0024481A">
        <w:t xml:space="preserve"> </w:t>
      </w:r>
      <w:r w:rsidR="0017570E" w:rsidRPr="00B54E0E">
        <w:t xml:space="preserve">relevant to the </w:t>
      </w:r>
      <w:r w:rsidR="00556790">
        <w:t>‘</w:t>
      </w:r>
      <w:r w:rsidR="0017570E" w:rsidRPr="00B54E0E">
        <w:t>real world</w:t>
      </w:r>
      <w:r w:rsidR="00556790">
        <w:t>’</w:t>
      </w:r>
      <w:r w:rsidR="00F06C4F">
        <w:t xml:space="preserve"> and important for developing </w:t>
      </w:r>
      <w:r w:rsidR="00AF3718">
        <w:t xml:space="preserve">prevention practice, </w:t>
      </w:r>
      <w:r w:rsidR="00E361C4">
        <w:t>policy,</w:t>
      </w:r>
      <w:r w:rsidR="00AF3718">
        <w:t xml:space="preserve"> and frameworks. </w:t>
      </w:r>
      <w:r w:rsidR="00E361C4">
        <w:t>Conversely, this dynamic</w:t>
      </w:r>
      <w:r w:rsidR="00556790">
        <w:t xml:space="preserve"> can </w:t>
      </w:r>
      <w:r w:rsidR="00AF3718">
        <w:t xml:space="preserve">also </w:t>
      </w:r>
      <w:r w:rsidR="00556790">
        <w:t>mean that</w:t>
      </w:r>
      <w:r w:rsidR="0017570E" w:rsidRPr="00B54E0E">
        <w:t xml:space="preserve"> </w:t>
      </w:r>
      <w:r w:rsidR="00AF3718">
        <w:t xml:space="preserve">academic </w:t>
      </w:r>
      <w:r w:rsidR="0017570E" w:rsidRPr="00B54E0E">
        <w:t>research is not always used to inform and improve practice</w:t>
      </w:r>
      <w:r w:rsidR="00393656">
        <w:t xml:space="preserve">: it can be </w:t>
      </w:r>
      <w:r w:rsidR="00DD1A5C">
        <w:t>categorically dismissed</w:t>
      </w:r>
      <w:r w:rsidR="00393656">
        <w:t xml:space="preserve"> as too far removed from practice</w:t>
      </w:r>
      <w:r w:rsidR="00A24021">
        <w:t xml:space="preserve"> or inaccessible</w:t>
      </w:r>
      <w:r w:rsidR="00393656">
        <w:t xml:space="preserve"> to be useful </w:t>
      </w:r>
      <w:r w:rsidR="00A24021">
        <w:t>and/or can</w:t>
      </w:r>
      <w:r w:rsidR="003D67FA">
        <w:t xml:space="preserve"> be</w:t>
      </w:r>
      <w:r w:rsidR="00A24021">
        <w:t xml:space="preserve"> insufficiently attentive to the importance of drawing on applied practice knowledge and translating findings </w:t>
      </w:r>
      <w:r w:rsidR="00574806">
        <w:t>into practice settings</w:t>
      </w:r>
      <w:r w:rsidR="0017570E" w:rsidRPr="00B54E0E">
        <w:t xml:space="preserve">. </w:t>
      </w:r>
    </w:p>
    <w:p w14:paraId="3C5F08E7" w14:textId="47F8D2CB" w:rsidR="00D8420A" w:rsidRDefault="00D8420A" w:rsidP="00D8420A">
      <w:pPr>
        <w:pStyle w:val="ListParagraph"/>
        <w:numPr>
          <w:ilvl w:val="0"/>
          <w:numId w:val="17"/>
        </w:numPr>
      </w:pPr>
      <w:r>
        <w:t>S</w:t>
      </w:r>
      <w:r w:rsidRPr="005E2EBE">
        <w:t xml:space="preserve">ince the </w:t>
      </w:r>
      <w:hyperlink r:id="rId12" w:history="1">
        <w:r w:rsidRPr="005E2EBE">
          <w:rPr>
            <w:rStyle w:val="Hyperlink"/>
          </w:rPr>
          <w:t>RCFV - Royal Commission into Family Violence (Victoria)</w:t>
        </w:r>
      </w:hyperlink>
      <w:r w:rsidRPr="005E2EBE">
        <w:t xml:space="preserve"> there has been a focus</w:t>
      </w:r>
      <w:r>
        <w:t xml:space="preserve"> in the state</w:t>
      </w:r>
      <w:r w:rsidRPr="005E2EBE">
        <w:t xml:space="preserve"> on workforce development for responding to family violence</w:t>
      </w:r>
      <w:r>
        <w:t xml:space="preserve">. Research may have a role to play in supporting further </w:t>
      </w:r>
      <w:r w:rsidRPr="005E2EBE">
        <w:t>investment in the primary prevention workforce</w:t>
      </w:r>
      <w:r w:rsidR="00A06429">
        <w:t xml:space="preserve">, including through providing </w:t>
      </w:r>
      <w:r w:rsidR="003018E9">
        <w:t>evidence to inform policy decisions</w:t>
      </w:r>
      <w:r w:rsidRPr="005E2EBE">
        <w:t>.</w:t>
      </w:r>
    </w:p>
    <w:p w14:paraId="648A9362" w14:textId="77777777" w:rsidR="00075E68" w:rsidRPr="00B54E0E" w:rsidRDefault="00075E68" w:rsidP="00D8420A">
      <w:pPr>
        <w:pStyle w:val="ListParagraph"/>
        <w:spacing w:after="0"/>
        <w:contextualSpacing w:val="0"/>
      </w:pPr>
    </w:p>
    <w:p w14:paraId="7F240816" w14:textId="3C2D30D7" w:rsidR="00B54E0E" w:rsidRPr="00B54E0E" w:rsidRDefault="002F50B9" w:rsidP="00D418BF">
      <w:pPr>
        <w:pStyle w:val="Heading5"/>
      </w:pPr>
      <w:r>
        <w:t>O</w:t>
      </w:r>
      <w:r w:rsidR="00B54E0E" w:rsidRPr="00B54E0E">
        <w:t>pportunities</w:t>
      </w:r>
    </w:p>
    <w:p w14:paraId="59472A15" w14:textId="68A904E3" w:rsidR="00B74390" w:rsidRPr="00B54E0E" w:rsidRDefault="003D67FA" w:rsidP="00B74390">
      <w:pPr>
        <w:pStyle w:val="ListParagraph"/>
        <w:numPr>
          <w:ilvl w:val="0"/>
          <w:numId w:val="17"/>
        </w:numPr>
        <w:spacing w:after="0"/>
        <w:contextualSpacing w:val="0"/>
      </w:pPr>
      <w:r>
        <w:t>Increase a</w:t>
      </w:r>
      <w:r w:rsidR="001656A2">
        <w:t xml:space="preserve">ttentiveness to how </w:t>
      </w:r>
      <w:r w:rsidR="00B74390" w:rsidRPr="00B54E0E">
        <w:t xml:space="preserve">of </w:t>
      </w:r>
      <w:r w:rsidR="001656A2">
        <w:t xml:space="preserve">findings from </w:t>
      </w:r>
      <w:r w:rsidR="00B54E0E" w:rsidRPr="00B54E0E">
        <w:t xml:space="preserve">primary prevention </w:t>
      </w:r>
      <w:r w:rsidR="001656A2">
        <w:t>research</w:t>
      </w:r>
      <w:r w:rsidR="00B74390" w:rsidRPr="00B54E0E">
        <w:t>, evaluation, and monitoring</w:t>
      </w:r>
      <w:r w:rsidR="002654E9" w:rsidRPr="00B54E0E">
        <w:t xml:space="preserve"> </w:t>
      </w:r>
      <w:r w:rsidR="001656A2">
        <w:t xml:space="preserve">are translated and applied </w:t>
      </w:r>
      <w:r w:rsidR="009B0EBC" w:rsidRPr="00B54E0E">
        <w:t>sh</w:t>
      </w:r>
      <w:r w:rsidR="00B74390" w:rsidRPr="00B54E0E">
        <w:t>ould be</w:t>
      </w:r>
      <w:r w:rsidR="009B0EBC" w:rsidRPr="00B54E0E">
        <w:t xml:space="preserve"> </w:t>
      </w:r>
      <w:r w:rsidR="00F24CE3" w:rsidRPr="00B54E0E">
        <w:t xml:space="preserve">emphasised </w:t>
      </w:r>
      <w:r w:rsidR="00FB3ADC">
        <w:t xml:space="preserve">more </w:t>
      </w:r>
      <w:r w:rsidR="001656A2">
        <w:t xml:space="preserve">in </w:t>
      </w:r>
      <w:r w:rsidR="00412D29">
        <w:t>study and project</w:t>
      </w:r>
      <w:r w:rsidR="001656A2">
        <w:t xml:space="preserve"> design and planning</w:t>
      </w:r>
      <w:r w:rsidR="00DC0D66">
        <w:t>.</w:t>
      </w:r>
      <w:r w:rsidR="00B74390" w:rsidRPr="00B54E0E">
        <w:t xml:space="preserve"> </w:t>
      </w:r>
    </w:p>
    <w:p w14:paraId="02510CDA" w14:textId="1F8912F5" w:rsidR="00B54E0E" w:rsidRDefault="00B54E0E" w:rsidP="00B74390">
      <w:pPr>
        <w:pStyle w:val="ListParagraph"/>
        <w:numPr>
          <w:ilvl w:val="0"/>
          <w:numId w:val="17"/>
        </w:numPr>
        <w:spacing w:after="0"/>
        <w:contextualSpacing w:val="0"/>
      </w:pPr>
      <w:r w:rsidRPr="00B54E0E">
        <w:t>The primary prevention research sector has a responsibility to make finding</w:t>
      </w:r>
      <w:r w:rsidR="005E1E1E">
        <w:t>s</w:t>
      </w:r>
      <w:r w:rsidRPr="00B54E0E">
        <w:t xml:space="preserve"> available quickly, so they can be applied to identify upstream drivers and where to focus social change efforts in practice</w:t>
      </w:r>
      <w:r w:rsidR="003C186E">
        <w:t xml:space="preserve"> efforts and policy advice</w:t>
      </w:r>
      <w:r w:rsidR="00DC0D66">
        <w:t>.</w:t>
      </w:r>
    </w:p>
    <w:p w14:paraId="1058B181" w14:textId="77777777" w:rsidR="00D8420A" w:rsidRDefault="00FC06B3">
      <w:pPr>
        <w:pStyle w:val="ListParagraph"/>
        <w:numPr>
          <w:ilvl w:val="0"/>
          <w:numId w:val="17"/>
        </w:numPr>
        <w:spacing w:after="0"/>
        <w:contextualSpacing w:val="0"/>
      </w:pPr>
      <w:r>
        <w:t xml:space="preserve">There is a need for better understanding of the effectiveness of primary prevention interventions, for example whether increases in reporting of family violence and access of violence services is related to these interventions. </w:t>
      </w:r>
    </w:p>
    <w:p w14:paraId="28205EC1" w14:textId="77777777" w:rsidR="00075E68" w:rsidRPr="00B54E0E" w:rsidRDefault="00075E68" w:rsidP="00EF1DC9">
      <w:pPr>
        <w:pStyle w:val="ListParagraph"/>
        <w:spacing w:after="0"/>
        <w:contextualSpacing w:val="0"/>
      </w:pPr>
    </w:p>
    <w:p w14:paraId="6DEA7CED" w14:textId="77777777" w:rsidR="00B74390" w:rsidRDefault="00B74390" w:rsidP="00B74390">
      <w:pPr>
        <w:pStyle w:val="Heading3"/>
      </w:pPr>
      <w:bookmarkStart w:id="4" w:name="_Toc148363893"/>
      <w:r w:rsidRPr="00BC4DB6">
        <w:t>Strong foundation of frameworks, strategies, data, and research bodies</w:t>
      </w:r>
      <w:bookmarkEnd w:id="4"/>
    </w:p>
    <w:p w14:paraId="24EFDCB2" w14:textId="77777777" w:rsidR="00EF1DC9" w:rsidRPr="00B54E0E" w:rsidRDefault="00EF1DC9" w:rsidP="00D418BF">
      <w:pPr>
        <w:pStyle w:val="Heading5"/>
      </w:pPr>
      <w:r w:rsidRPr="00B54E0E">
        <w:t>Key discussion points</w:t>
      </w:r>
    </w:p>
    <w:p w14:paraId="57C772C7" w14:textId="372D6809" w:rsidR="00B74390" w:rsidRPr="00D9752D" w:rsidRDefault="00B74390" w:rsidP="00B74390">
      <w:pPr>
        <w:pStyle w:val="ListParagraph"/>
        <w:numPr>
          <w:ilvl w:val="0"/>
          <w:numId w:val="18"/>
        </w:numPr>
        <w:spacing w:after="0"/>
        <w:contextualSpacing w:val="0"/>
      </w:pPr>
      <w:r w:rsidRPr="00693AAB">
        <w:t xml:space="preserve">The </w:t>
      </w:r>
      <w:hyperlink r:id="rId13" w:history="1">
        <w:r w:rsidRPr="00693AAB">
          <w:rPr>
            <w:rStyle w:val="Hyperlink"/>
          </w:rPr>
          <w:t>National Preventive Health Strategy 2021–2030 | Australian Government Department of Health and Aged Care</w:t>
        </w:r>
      </w:hyperlink>
      <w:r w:rsidRPr="00693AAB">
        <w:t xml:space="preserve"> </w:t>
      </w:r>
      <w:r w:rsidRPr="005C1139">
        <w:rPr>
          <w:color w:val="003639" w:themeColor="text2"/>
        </w:rPr>
        <w:t xml:space="preserve">provides a </w:t>
      </w:r>
      <w:r w:rsidR="005F5DFE">
        <w:rPr>
          <w:color w:val="003639" w:themeColor="text2"/>
        </w:rPr>
        <w:t>solid</w:t>
      </w:r>
      <w:r w:rsidRPr="005C1139">
        <w:rPr>
          <w:color w:val="003639" w:themeColor="text2"/>
        </w:rPr>
        <w:t xml:space="preserve"> base</w:t>
      </w:r>
      <w:r w:rsidR="005F5DFE">
        <w:rPr>
          <w:color w:val="003639" w:themeColor="text2"/>
        </w:rPr>
        <w:t xml:space="preserve"> that </w:t>
      </w:r>
      <w:r w:rsidR="00142E5D">
        <w:rPr>
          <w:color w:val="003639" w:themeColor="text2"/>
        </w:rPr>
        <w:t>can inform and</w:t>
      </w:r>
      <w:r w:rsidRPr="005C1139">
        <w:rPr>
          <w:color w:val="003639" w:themeColor="text2"/>
        </w:rPr>
        <w:t xml:space="preserve"> enhanc</w:t>
      </w:r>
      <w:r w:rsidR="00142E5D">
        <w:rPr>
          <w:color w:val="003639" w:themeColor="text2"/>
        </w:rPr>
        <w:t>e</w:t>
      </w:r>
      <w:r w:rsidRPr="005C1139">
        <w:rPr>
          <w:color w:val="003639" w:themeColor="text2"/>
        </w:rPr>
        <w:t xml:space="preserve"> the focus on prevention and building systems based change over a 10 year period</w:t>
      </w:r>
      <w:r w:rsidR="00DC0D66">
        <w:rPr>
          <w:color w:val="003639" w:themeColor="text2"/>
        </w:rPr>
        <w:t>.</w:t>
      </w:r>
      <w:r w:rsidRPr="005C1139">
        <w:rPr>
          <w:color w:val="003639" w:themeColor="text2"/>
        </w:rPr>
        <w:t xml:space="preserve"> </w:t>
      </w:r>
    </w:p>
    <w:p w14:paraId="198B1EAD" w14:textId="63FCE680" w:rsidR="00B74390" w:rsidRPr="00693AAB" w:rsidRDefault="00B74390" w:rsidP="00B74390">
      <w:pPr>
        <w:pStyle w:val="ListParagraph"/>
        <w:numPr>
          <w:ilvl w:val="0"/>
          <w:numId w:val="18"/>
        </w:numPr>
        <w:spacing w:after="0"/>
        <w:contextualSpacing w:val="0"/>
      </w:pPr>
      <w:r w:rsidRPr="00693AAB">
        <w:t xml:space="preserve">The </w:t>
      </w:r>
      <w:hyperlink r:id="rId14" w:history="1">
        <w:r w:rsidRPr="00693AAB">
          <w:rPr>
            <w:rStyle w:val="Hyperlink"/>
          </w:rPr>
          <w:t>Australian Data Strategy Action Plan (finance.gov.au)</w:t>
        </w:r>
      </w:hyperlink>
      <w:r w:rsidRPr="00693AAB">
        <w:t xml:space="preserve"> shows a commitment by government to data integrity and taking an evidence</w:t>
      </w:r>
      <w:r w:rsidR="00E63645">
        <w:t>-</w:t>
      </w:r>
      <w:r w:rsidRPr="00693AAB">
        <w:t>based approach to inform sector interventions</w:t>
      </w:r>
      <w:r w:rsidR="00DC0D66">
        <w:t>.</w:t>
      </w:r>
    </w:p>
    <w:p w14:paraId="09249949" w14:textId="7823B668" w:rsidR="00B74390" w:rsidRPr="00693AAB" w:rsidRDefault="00B74390" w:rsidP="00B74390">
      <w:pPr>
        <w:pStyle w:val="ListParagraph"/>
        <w:numPr>
          <w:ilvl w:val="0"/>
          <w:numId w:val="18"/>
        </w:numPr>
        <w:spacing w:after="0"/>
        <w:contextualSpacing w:val="0"/>
      </w:pPr>
      <w:r w:rsidRPr="00693AAB">
        <w:t xml:space="preserve">High quality data are available on attitudes and prevalence of family and domestic violence through </w:t>
      </w:r>
      <w:hyperlink r:id="rId15" w:history="1">
        <w:r w:rsidRPr="00693AAB">
          <w:rPr>
            <w:rStyle w:val="Hyperlink"/>
          </w:rPr>
          <w:t>National Community Attitudes towards Violence against Women Survey (NCAS) - ANROWS - Australia's National Research Organisation for Women's Safety</w:t>
        </w:r>
      </w:hyperlink>
      <w:r w:rsidRPr="00693AAB">
        <w:t>, the world’s longest running population level survey of community attitudes towards violence against women</w:t>
      </w:r>
      <w:r w:rsidR="00DC0D66">
        <w:t>.</w:t>
      </w:r>
      <w:r w:rsidRPr="00693AAB">
        <w:t xml:space="preserve"> </w:t>
      </w:r>
    </w:p>
    <w:p w14:paraId="1B1D1279" w14:textId="0D19A1EE" w:rsidR="009A5258" w:rsidRPr="009A5258" w:rsidRDefault="00B74390" w:rsidP="009A5258">
      <w:pPr>
        <w:pStyle w:val="ListParagraph"/>
        <w:numPr>
          <w:ilvl w:val="0"/>
          <w:numId w:val="18"/>
        </w:numPr>
        <w:spacing w:after="0"/>
        <w:contextualSpacing w:val="0"/>
        <w:rPr>
          <w:u w:val="single"/>
        </w:rPr>
      </w:pPr>
      <w:r w:rsidRPr="0000292F">
        <w:t>Australia has a robust landscape of research bodies and organisations</w:t>
      </w:r>
      <w:r w:rsidR="0032388B">
        <w:t xml:space="preserve"> committed to knowledge building about primary prevention</w:t>
      </w:r>
      <w:r w:rsidR="00EB31C1">
        <w:t>, including those represented by symposium participants</w:t>
      </w:r>
      <w:r w:rsidR="00DC0D66">
        <w:t>.</w:t>
      </w:r>
    </w:p>
    <w:p w14:paraId="1C70CDE7" w14:textId="3C6D56F2" w:rsidR="009A5258" w:rsidRPr="00E63645" w:rsidRDefault="009A5258" w:rsidP="007052B6">
      <w:pPr>
        <w:pStyle w:val="ListParagraph"/>
        <w:numPr>
          <w:ilvl w:val="0"/>
          <w:numId w:val="18"/>
        </w:numPr>
        <w:spacing w:after="0"/>
        <w:contextualSpacing w:val="0"/>
        <w:rPr>
          <w:u w:val="single"/>
        </w:rPr>
      </w:pPr>
      <w:r w:rsidRPr="00EC3A02">
        <w:t>A representative from ANROWS provided an overview of the Australian National Research Agenda (ANRA</w:t>
      </w:r>
      <w:r w:rsidR="00EC3A02" w:rsidRPr="00EC3A02">
        <w:t>), to</w:t>
      </w:r>
      <w:r w:rsidR="00FE2B7A" w:rsidRPr="00EC3A02">
        <w:t xml:space="preserve"> be published later in 2023</w:t>
      </w:r>
      <w:r w:rsidR="00EC3A02" w:rsidRPr="00EC3A02">
        <w:t xml:space="preserve">. This informed the symposium </w:t>
      </w:r>
      <w:r w:rsidR="00FE2B7A" w:rsidRPr="00EC3A02">
        <w:t>discussion</w:t>
      </w:r>
      <w:r w:rsidR="00EC3A02" w:rsidRPr="00EC3A02">
        <w:t>, and participants were</w:t>
      </w:r>
      <w:r w:rsidR="00FE2B7A" w:rsidRPr="00EC3A02">
        <w:t xml:space="preserve"> </w:t>
      </w:r>
      <w:r w:rsidR="00EC3A02" w:rsidRPr="00EC3A02">
        <w:t>able to link the discussion with</w:t>
      </w:r>
      <w:r w:rsidR="00FE2B7A" w:rsidRPr="00EC3A02">
        <w:t xml:space="preserve"> </w:t>
      </w:r>
      <w:r w:rsidR="007052B6" w:rsidRPr="00EC3A02">
        <w:t xml:space="preserve">key national research </w:t>
      </w:r>
      <w:r w:rsidR="00EC3A02" w:rsidRPr="00EC3A02">
        <w:t>f</w:t>
      </w:r>
      <w:r w:rsidR="007052B6" w:rsidRPr="00EC3A02">
        <w:t>ramework</w:t>
      </w:r>
      <w:r w:rsidR="00EC3A02" w:rsidRPr="00EC3A02">
        <w:t>s related to violence against women.</w:t>
      </w:r>
    </w:p>
    <w:p w14:paraId="368D1585" w14:textId="77777777" w:rsidR="007B280F" w:rsidRDefault="007B280F" w:rsidP="00EF1DC9">
      <w:pPr>
        <w:spacing w:after="0"/>
        <w:rPr>
          <w:b/>
          <w:bCs/>
          <w:i/>
          <w:iCs/>
        </w:rPr>
      </w:pPr>
    </w:p>
    <w:p w14:paraId="0521DCA9" w14:textId="7F8F4669" w:rsidR="00EF1DC9" w:rsidRPr="00EF1DC9" w:rsidRDefault="002F50B9" w:rsidP="00D418BF">
      <w:pPr>
        <w:pStyle w:val="Heading5"/>
        <w:rPr>
          <w:u w:val="single"/>
        </w:rPr>
      </w:pPr>
      <w:r>
        <w:t>O</w:t>
      </w:r>
      <w:r w:rsidR="00EF1DC9" w:rsidRPr="00EF1DC9">
        <w:t>pportunities</w:t>
      </w:r>
    </w:p>
    <w:p w14:paraId="4216AB89" w14:textId="74440029" w:rsidR="00EF1DC9" w:rsidRPr="00B16972" w:rsidRDefault="00EF1DC9">
      <w:pPr>
        <w:pStyle w:val="ListParagraph"/>
        <w:numPr>
          <w:ilvl w:val="0"/>
          <w:numId w:val="19"/>
        </w:numPr>
        <w:spacing w:after="0"/>
        <w:contextualSpacing w:val="0"/>
        <w:rPr>
          <w:u w:val="single"/>
        </w:rPr>
      </w:pPr>
      <w:r w:rsidRPr="00B16972">
        <w:rPr>
          <w:color w:val="003639" w:themeColor="text2"/>
        </w:rPr>
        <w:t>There are opportunities for</w:t>
      </w:r>
      <w:r w:rsidR="005023B6">
        <w:rPr>
          <w:color w:val="003639" w:themeColor="text2"/>
        </w:rPr>
        <w:t xml:space="preserve"> greater</w:t>
      </w:r>
      <w:r w:rsidRPr="00B16972">
        <w:rPr>
          <w:color w:val="003639" w:themeColor="text2"/>
        </w:rPr>
        <w:t xml:space="preserve"> collaboration within the primary prevention research landscape to strengthen national definitions and data sets across the family violence </w:t>
      </w:r>
      <w:r w:rsidRPr="00EF1DC9">
        <w:t>and sexual assault sector, and there is a need to map and co-ordinate research across organisations and sectors to avoid duplication of efforts.</w:t>
      </w:r>
    </w:p>
    <w:p w14:paraId="7515CADC" w14:textId="77777777" w:rsidR="00B16972" w:rsidRPr="00B16972" w:rsidRDefault="00B16972" w:rsidP="00B16972">
      <w:pPr>
        <w:pStyle w:val="ListParagraph"/>
        <w:spacing w:after="0"/>
        <w:contextualSpacing w:val="0"/>
        <w:rPr>
          <w:u w:val="single"/>
        </w:rPr>
      </w:pPr>
    </w:p>
    <w:p w14:paraId="26068080" w14:textId="2D9499CF" w:rsidR="00B74390" w:rsidRDefault="00B74390" w:rsidP="00B74390">
      <w:pPr>
        <w:pStyle w:val="Heading3"/>
      </w:pPr>
      <w:bookmarkStart w:id="5" w:name="_Toc148363894"/>
      <w:r w:rsidRPr="00042B36">
        <w:t xml:space="preserve">Decolonisation </w:t>
      </w:r>
      <w:r w:rsidR="00195F8D">
        <w:t>and structures of power</w:t>
      </w:r>
      <w:bookmarkEnd w:id="5"/>
    </w:p>
    <w:p w14:paraId="6CC7589D" w14:textId="2B5F322C" w:rsidR="00EF1DC9" w:rsidRPr="00EF1DC9" w:rsidRDefault="00EF1DC9" w:rsidP="00D418BF">
      <w:pPr>
        <w:pStyle w:val="Heading5"/>
        <w:rPr>
          <w:u w:val="single"/>
        </w:rPr>
      </w:pPr>
      <w:r w:rsidRPr="00EF1DC9">
        <w:t>Key discussion points</w:t>
      </w:r>
    </w:p>
    <w:p w14:paraId="700FAA4B" w14:textId="2B65DB8A" w:rsidR="00025128" w:rsidRPr="00EF1DC9" w:rsidRDefault="00B74390" w:rsidP="00EF1DC9">
      <w:pPr>
        <w:pStyle w:val="ListParagraph"/>
        <w:numPr>
          <w:ilvl w:val="0"/>
          <w:numId w:val="23"/>
        </w:numPr>
      </w:pPr>
      <w:r w:rsidRPr="00EF1DC9">
        <w:t xml:space="preserve">Participants explored links between gender inequality as the primary </w:t>
      </w:r>
      <w:r w:rsidR="007B280F">
        <w:t xml:space="preserve">root of </w:t>
      </w:r>
      <w:r w:rsidR="00F403D0">
        <w:t xml:space="preserve">the </w:t>
      </w:r>
      <w:r w:rsidR="007B280F">
        <w:t>gendered</w:t>
      </w:r>
      <w:r w:rsidRPr="00EF1DC9">
        <w:t xml:space="preserve"> driver</w:t>
      </w:r>
      <w:r w:rsidR="007B280F">
        <w:t>s</w:t>
      </w:r>
      <w:r w:rsidRPr="00EF1DC9">
        <w:t xml:space="preserve"> of violence against women and</w:t>
      </w:r>
      <w:r w:rsidR="007B280F">
        <w:t xml:space="preserve"> the ways that </w:t>
      </w:r>
      <w:r w:rsidR="005023B6">
        <w:t>articulation of these drivers</w:t>
      </w:r>
      <w:r w:rsidR="007B280F">
        <w:t xml:space="preserve"> </w:t>
      </w:r>
      <w:r w:rsidR="00EC3DFC">
        <w:t>are shaped by structural inequality</w:t>
      </w:r>
      <w:r w:rsidRPr="00EF1DC9">
        <w:t xml:space="preserve"> including capitalism, colonisation</w:t>
      </w:r>
      <w:r w:rsidR="00FA4FD7" w:rsidRPr="00EF1DC9">
        <w:t>,</w:t>
      </w:r>
      <w:r w:rsidRPr="00EF1DC9">
        <w:t xml:space="preserve"> and patriarchy</w:t>
      </w:r>
      <w:r w:rsidR="00DC0D66">
        <w:t>.</w:t>
      </w:r>
      <w:r w:rsidRPr="00EF1DC9">
        <w:t xml:space="preserve"> </w:t>
      </w:r>
    </w:p>
    <w:p w14:paraId="7B07AD76" w14:textId="7DA3F9D2" w:rsidR="00B74390" w:rsidRPr="00EF1DC9" w:rsidRDefault="00B74390" w:rsidP="007B7777">
      <w:pPr>
        <w:pStyle w:val="ListParagraph"/>
        <w:numPr>
          <w:ilvl w:val="0"/>
          <w:numId w:val="23"/>
        </w:numPr>
      </w:pPr>
      <w:r w:rsidRPr="00EF1DC9">
        <w:t>Discussions also centred on colonial notions of masculinity, recognising that masculinity may look different from an alternative cultural lens, particular</w:t>
      </w:r>
      <w:r w:rsidR="003F0226" w:rsidRPr="00EF1DC9">
        <w:t>ly</w:t>
      </w:r>
      <w:r w:rsidR="00EC3DFC">
        <w:t xml:space="preserve"> in relation to</w:t>
      </w:r>
      <w:r w:rsidRPr="00EF1DC9">
        <w:t xml:space="preserve"> First Nations Communities</w:t>
      </w:r>
      <w:r w:rsidR="00DC0D66">
        <w:t>.</w:t>
      </w:r>
      <w:r w:rsidRPr="00EF1DC9">
        <w:t xml:space="preserve">   </w:t>
      </w:r>
    </w:p>
    <w:p w14:paraId="16BA03E8" w14:textId="004762DC" w:rsidR="00B126DC" w:rsidRPr="00EF1DC9" w:rsidRDefault="00DC0D66" w:rsidP="00B126DC">
      <w:pPr>
        <w:pStyle w:val="ListParagraph"/>
        <w:numPr>
          <w:ilvl w:val="0"/>
          <w:numId w:val="23"/>
        </w:numPr>
      </w:pPr>
      <w:r>
        <w:t xml:space="preserve">Participants </w:t>
      </w:r>
      <w:r w:rsidR="00B126DC" w:rsidRPr="00EF1DC9">
        <w:t>recognised that sectors such as academia, government and research can inadvertently reproduce and reinforce unequal power structures in interactions, systems, and processes</w:t>
      </w:r>
      <w:r>
        <w:t>.</w:t>
      </w:r>
      <w:r w:rsidR="00B126DC" w:rsidRPr="00EF1DC9">
        <w:t xml:space="preserve"> </w:t>
      </w:r>
    </w:p>
    <w:p w14:paraId="2641F04F" w14:textId="5B78653A" w:rsidR="00B74390" w:rsidRPr="00EF1DC9" w:rsidRDefault="003F0226" w:rsidP="007B7777">
      <w:pPr>
        <w:pStyle w:val="ListParagraph"/>
        <w:numPr>
          <w:ilvl w:val="0"/>
          <w:numId w:val="24"/>
        </w:numPr>
      </w:pPr>
      <w:r w:rsidRPr="00EF1DC9">
        <w:t>D</w:t>
      </w:r>
      <w:r w:rsidR="00B74390" w:rsidRPr="00EF1DC9">
        <w:t>omina</w:t>
      </w:r>
      <w:r w:rsidRPr="00EF1DC9">
        <w:t>nt</w:t>
      </w:r>
      <w:r w:rsidR="00B74390" w:rsidRPr="00EF1DC9">
        <w:t xml:space="preserve"> western power structures, such as government organisations</w:t>
      </w:r>
      <w:r w:rsidRPr="00EF1DC9">
        <w:t>, often</w:t>
      </w:r>
      <w:r w:rsidR="00B74390" w:rsidRPr="00EF1DC9">
        <w:t xml:space="preserve"> </w:t>
      </w:r>
      <w:r w:rsidR="005C3C7C" w:rsidRPr="00EF1DC9">
        <w:t>have</w:t>
      </w:r>
      <w:r w:rsidRPr="00EF1DC9">
        <w:t xml:space="preserve"> </w:t>
      </w:r>
      <w:r w:rsidR="00B74390" w:rsidRPr="00EF1DC9">
        <w:t>colonial and patriarchal</w:t>
      </w:r>
      <w:r w:rsidRPr="00EF1DC9">
        <w:t xml:space="preserve"> </w:t>
      </w:r>
      <w:r w:rsidR="005C3C7C" w:rsidRPr="00EF1DC9">
        <w:t>origins that may be sustained in current practice.</w:t>
      </w:r>
      <w:r w:rsidR="00B74390" w:rsidRPr="00EF1DC9">
        <w:t xml:space="preserve"> </w:t>
      </w:r>
    </w:p>
    <w:p w14:paraId="49687B8D" w14:textId="6FAD94D4" w:rsidR="00EF1DC9" w:rsidRPr="00EF1DC9" w:rsidRDefault="002F50B9" w:rsidP="00D418BF">
      <w:pPr>
        <w:pStyle w:val="Heading5"/>
        <w:rPr>
          <w:u w:val="single"/>
        </w:rPr>
      </w:pPr>
      <w:r>
        <w:t>O</w:t>
      </w:r>
      <w:r w:rsidR="00EF1DC9" w:rsidRPr="00EF1DC9">
        <w:t>pportunities</w:t>
      </w:r>
    </w:p>
    <w:p w14:paraId="7EF71E8C" w14:textId="4DA837C3" w:rsidR="00EF1DC9" w:rsidRPr="00EF1DC9" w:rsidRDefault="00EF1DC9" w:rsidP="00EF1DC9">
      <w:pPr>
        <w:pStyle w:val="ListParagraph"/>
        <w:numPr>
          <w:ilvl w:val="0"/>
          <w:numId w:val="24"/>
        </w:numPr>
      </w:pPr>
      <w:r w:rsidRPr="00EF1DC9">
        <w:t>There is an opportunity to consider what decolonising practice might look like on the ground and what the primary prevention sector’s role in decolonisation should involve</w:t>
      </w:r>
      <w:r w:rsidR="00DC0D66">
        <w:t>.</w:t>
      </w:r>
      <w:r w:rsidRPr="00EF1DC9">
        <w:t xml:space="preserve"> </w:t>
      </w:r>
    </w:p>
    <w:p w14:paraId="1AB15046" w14:textId="79FA105B" w:rsidR="00EF1DC9" w:rsidRPr="00EF1DC9" w:rsidRDefault="005023B6" w:rsidP="00EF1DC9">
      <w:pPr>
        <w:pStyle w:val="ListParagraph"/>
        <w:numPr>
          <w:ilvl w:val="0"/>
          <w:numId w:val="24"/>
        </w:numPr>
      </w:pPr>
      <w:r>
        <w:t xml:space="preserve">Participants recognised </w:t>
      </w:r>
      <w:r w:rsidR="003C186E">
        <w:t xml:space="preserve">the leadership and self-determination of </w:t>
      </w:r>
      <w:r w:rsidR="00E63645">
        <w:t>F</w:t>
      </w:r>
      <w:r w:rsidR="00EF1DC9" w:rsidRPr="00EF1DC9">
        <w:t xml:space="preserve">irst Nations </w:t>
      </w:r>
      <w:r w:rsidR="003C186E">
        <w:t>c</w:t>
      </w:r>
      <w:r w:rsidR="00EF1DC9" w:rsidRPr="00EF1DC9">
        <w:t>ommunities in the process of decolonisation as integral</w:t>
      </w:r>
      <w:r>
        <w:t xml:space="preserve"> </w:t>
      </w:r>
      <w:r w:rsidR="00A35EE9">
        <w:t>to these efforts</w:t>
      </w:r>
      <w:r w:rsidR="00B24BBE">
        <w:t>.</w:t>
      </w:r>
      <w:r w:rsidR="00EF1DC9" w:rsidRPr="00EF1DC9">
        <w:t xml:space="preserve"> </w:t>
      </w:r>
      <w:r w:rsidR="000C7370">
        <w:t>The importance of partnering with communities with integrity and genuine power-sharing was noted, alongside the need to take care not to inadvertently reproduce</w:t>
      </w:r>
      <w:r w:rsidR="00EF1DC9" w:rsidRPr="00EF1DC9">
        <w:t xml:space="preserve"> colonial trauma </w:t>
      </w:r>
      <w:r w:rsidR="000C7370">
        <w:t xml:space="preserve">or </w:t>
      </w:r>
      <w:r w:rsidR="00084DBE">
        <w:t>increase</w:t>
      </w:r>
      <w:r w:rsidR="000C7370">
        <w:t xml:space="preserve"> cultural load</w:t>
      </w:r>
      <w:r w:rsidR="00EF1DC9" w:rsidRPr="00EF1DC9">
        <w:t xml:space="preserve">. </w:t>
      </w:r>
    </w:p>
    <w:p w14:paraId="5E9E3F43" w14:textId="232FD763" w:rsidR="00EF1DC9" w:rsidRDefault="00EF1DC9">
      <w:pPr>
        <w:pStyle w:val="ListParagraph"/>
        <w:numPr>
          <w:ilvl w:val="0"/>
          <w:numId w:val="24"/>
        </w:numPr>
      </w:pPr>
      <w:r w:rsidRPr="00EF1DC9">
        <w:t xml:space="preserve">Research can explore how institutional power structures play a role in the perpetration of violence and how this informs community attitudes and behaviours. It was suggested that decolonising practice can begin internally within our own organisations.  </w:t>
      </w:r>
    </w:p>
    <w:p w14:paraId="78B9B5A2" w14:textId="77777777" w:rsidR="00B16972" w:rsidRDefault="00B16972" w:rsidP="00B16972">
      <w:pPr>
        <w:pStyle w:val="ListParagraph"/>
      </w:pPr>
    </w:p>
    <w:p w14:paraId="3320D4A7" w14:textId="093CF988" w:rsidR="00EF1DC9" w:rsidRPr="007C4984" w:rsidRDefault="003C186E" w:rsidP="00EF1DC9">
      <w:pPr>
        <w:pStyle w:val="Heading3"/>
      </w:pPr>
      <w:bookmarkStart w:id="6" w:name="_Toc148363895"/>
      <w:r>
        <w:t xml:space="preserve">Representation, </w:t>
      </w:r>
      <w:proofErr w:type="gramStart"/>
      <w:r>
        <w:t>c</w:t>
      </w:r>
      <w:r w:rsidR="00EF1DC9">
        <w:t>ollaboration</w:t>
      </w:r>
      <w:proofErr w:type="gramEnd"/>
      <w:r w:rsidR="00EF1DC9">
        <w:t xml:space="preserve"> and e</w:t>
      </w:r>
      <w:r w:rsidR="00EF1DC9" w:rsidRPr="007C4984">
        <w:t>ngagement</w:t>
      </w:r>
      <w:bookmarkEnd w:id="6"/>
      <w:r w:rsidR="00EF1DC9" w:rsidRPr="007C4984">
        <w:t xml:space="preserve"> </w:t>
      </w:r>
    </w:p>
    <w:p w14:paraId="72DCE94C" w14:textId="0E8F6625" w:rsidR="00664B61" w:rsidRPr="00664B61" w:rsidRDefault="00664B61" w:rsidP="00D418BF">
      <w:pPr>
        <w:pStyle w:val="Heading5"/>
      </w:pPr>
      <w:r w:rsidRPr="00664B61">
        <w:t>Key discussion points</w:t>
      </w:r>
    </w:p>
    <w:p w14:paraId="518E772F" w14:textId="77777777" w:rsidR="00664B61" w:rsidRPr="00664B61" w:rsidRDefault="00EF1DC9" w:rsidP="00EF1DC9">
      <w:pPr>
        <w:pStyle w:val="ListParagraph"/>
        <w:numPr>
          <w:ilvl w:val="0"/>
          <w:numId w:val="19"/>
        </w:numPr>
      </w:pPr>
      <w:r w:rsidRPr="00664B61">
        <w:t>The primary prevention research sector often lacks engagement with community and other sectors under a shared vision and agenda</w:t>
      </w:r>
      <w:r w:rsidRPr="00664B61">
        <w:rPr>
          <w:color w:val="003639" w:themeColor="text2"/>
        </w:rPr>
        <w:t>.</w:t>
      </w:r>
    </w:p>
    <w:p w14:paraId="0D8ADD2B" w14:textId="7446868D" w:rsidR="00EF1DC9" w:rsidRPr="00664B61" w:rsidRDefault="00664B61" w:rsidP="00EF1DC9">
      <w:pPr>
        <w:pStyle w:val="ListParagraph"/>
        <w:numPr>
          <w:ilvl w:val="0"/>
          <w:numId w:val="19"/>
        </w:numPr>
      </w:pPr>
      <w:r w:rsidRPr="00664B61">
        <w:t xml:space="preserve">There was </w:t>
      </w:r>
      <w:r w:rsidR="00EC3DFC">
        <w:t>recognition</w:t>
      </w:r>
      <w:r w:rsidRPr="00664B61">
        <w:t xml:space="preserve"> that many groups have</w:t>
      </w:r>
      <w:r w:rsidR="00EC3DFC">
        <w:t xml:space="preserve"> historically</w:t>
      </w:r>
      <w:r w:rsidRPr="00664B61">
        <w:t xml:space="preserve"> been </w:t>
      </w:r>
      <w:r w:rsidR="00EC3DFC">
        <w:t>under-acknowledged in</w:t>
      </w:r>
      <w:r w:rsidRPr="00664B61">
        <w:t xml:space="preserve"> primary prevention research </w:t>
      </w:r>
      <w:r w:rsidR="00EC3DFC">
        <w:t>priorities</w:t>
      </w:r>
      <w:r w:rsidRPr="00664B61">
        <w:t>, and that the sector needs greater representation, engagement, and collaboration with marginalised population groups.</w:t>
      </w:r>
    </w:p>
    <w:p w14:paraId="60260E03" w14:textId="02C359B8" w:rsidR="00664B61" w:rsidRPr="00664B61" w:rsidRDefault="002F50B9" w:rsidP="00D418BF">
      <w:pPr>
        <w:pStyle w:val="Heading5"/>
        <w:rPr>
          <w:u w:val="single"/>
        </w:rPr>
      </w:pPr>
      <w:r>
        <w:t>O</w:t>
      </w:r>
      <w:r w:rsidR="00664B61" w:rsidRPr="00664B61">
        <w:t>pportunities</w:t>
      </w:r>
    </w:p>
    <w:p w14:paraId="6E625B5C" w14:textId="4F3A726E" w:rsidR="00E63645" w:rsidRDefault="00EF1DC9" w:rsidP="006D6288">
      <w:pPr>
        <w:pStyle w:val="ListParagraph"/>
        <w:numPr>
          <w:ilvl w:val="0"/>
          <w:numId w:val="19"/>
        </w:numPr>
      </w:pPr>
      <w:r w:rsidRPr="00664B61">
        <w:rPr>
          <w:color w:val="003639" w:themeColor="text2"/>
        </w:rPr>
        <w:t>A mechanism could be developed to support meaningful and genuine collaboration and consultation with peak bodies, community and other sectors including organisations in the secondary and tertiary prevention space.</w:t>
      </w:r>
      <w:r w:rsidR="00664B61" w:rsidRPr="00664B61">
        <w:t xml:space="preserve"> </w:t>
      </w:r>
    </w:p>
    <w:p w14:paraId="693A1E3E" w14:textId="77777777" w:rsidR="00DC0D66" w:rsidRDefault="00DC0D66" w:rsidP="00DC0D66"/>
    <w:p w14:paraId="29D8D79C" w14:textId="31E69B68" w:rsidR="00EF1DC9" w:rsidRPr="008B4D3F" w:rsidRDefault="00EF1DC9" w:rsidP="00EF1DC9">
      <w:pPr>
        <w:pStyle w:val="Heading3"/>
      </w:pPr>
      <w:bookmarkStart w:id="7" w:name="_Toc148363896"/>
      <w:r w:rsidRPr="008B4D3F">
        <w:t>Overlapping drivers</w:t>
      </w:r>
      <w:r w:rsidR="00A72915">
        <w:t xml:space="preserve"> for different forms of violence</w:t>
      </w:r>
      <w:bookmarkEnd w:id="7"/>
    </w:p>
    <w:p w14:paraId="2D4A1F5B" w14:textId="6DED31CC" w:rsidR="00D75C41" w:rsidRPr="00D75C41" w:rsidRDefault="00D75C41" w:rsidP="00D418BF">
      <w:pPr>
        <w:pStyle w:val="Heading5"/>
      </w:pPr>
      <w:r w:rsidRPr="00D75C41">
        <w:t>Key discussion points</w:t>
      </w:r>
    </w:p>
    <w:p w14:paraId="31649E18" w14:textId="6B39794F" w:rsidR="00A72915" w:rsidRDefault="00EA348F" w:rsidP="00A72915">
      <w:pPr>
        <w:pStyle w:val="ListParagraph"/>
        <w:numPr>
          <w:ilvl w:val="0"/>
          <w:numId w:val="19"/>
        </w:numPr>
      </w:pPr>
      <w:r>
        <w:t>There was acknowledgement that d</w:t>
      </w:r>
      <w:r w:rsidRPr="00002B67">
        <w:t>ominant narrative</w:t>
      </w:r>
      <w:r>
        <w:t>s</w:t>
      </w:r>
      <w:r w:rsidRPr="00002B67">
        <w:t xml:space="preserve"> of </w:t>
      </w:r>
      <w:r>
        <w:t xml:space="preserve">family violence have </w:t>
      </w:r>
      <w:r w:rsidRPr="00002B67">
        <w:t>historically</w:t>
      </w:r>
      <w:r w:rsidR="003D2A6F">
        <w:t xml:space="preserve"> </w:t>
      </w:r>
      <w:r w:rsidRPr="00002B67">
        <w:t xml:space="preserve">focused </w:t>
      </w:r>
      <w:r w:rsidR="00AE1FD4">
        <w:t xml:space="preserve">mainly </w:t>
      </w:r>
      <w:r w:rsidRPr="00002B67">
        <w:t>on</w:t>
      </w:r>
      <w:r w:rsidR="00B15894">
        <w:t xml:space="preserve"> </w:t>
      </w:r>
      <w:proofErr w:type="spellStart"/>
      <w:r w:rsidR="00B15894">
        <w:t>cisnormative</w:t>
      </w:r>
      <w:proofErr w:type="spellEnd"/>
      <w:r w:rsidR="00B15894">
        <w:t xml:space="preserve"> and heteronormative</w:t>
      </w:r>
      <w:r w:rsidR="00C7016E">
        <w:t xml:space="preserve"> understandings of</w:t>
      </w:r>
      <w:r w:rsidR="00E63645">
        <w:t xml:space="preserve"> </w:t>
      </w:r>
      <w:r w:rsidR="00E22D2B">
        <w:t xml:space="preserve">men’s </w:t>
      </w:r>
      <w:r w:rsidRPr="00002B67">
        <w:t xml:space="preserve">physical </w:t>
      </w:r>
      <w:r>
        <w:t xml:space="preserve">violence against women </w:t>
      </w:r>
      <w:r w:rsidRPr="00002B67">
        <w:t xml:space="preserve">in </w:t>
      </w:r>
      <w:r w:rsidR="00E22D2B">
        <w:t xml:space="preserve">the </w:t>
      </w:r>
      <w:r w:rsidRPr="00002B67">
        <w:t>context of intimate part</w:t>
      </w:r>
      <w:r>
        <w:t>n</w:t>
      </w:r>
      <w:r w:rsidRPr="00002B67">
        <w:t>erships</w:t>
      </w:r>
      <w:r w:rsidR="00C7016E">
        <w:t xml:space="preserve">. Further, that these have been insufficiently attentive to </w:t>
      </w:r>
      <w:r w:rsidR="00481AC7">
        <w:t>the role that disability, rac</w:t>
      </w:r>
      <w:r w:rsidR="000D5890">
        <w:t>ism, colonialism</w:t>
      </w:r>
      <w:r w:rsidR="00481AC7">
        <w:t xml:space="preserve">, </w:t>
      </w:r>
      <w:r w:rsidR="00A00436">
        <w:t>age, or visa-related precarity can play in shaping the drivers of violence</w:t>
      </w:r>
      <w:r w:rsidRPr="00002B67">
        <w:t>.</w:t>
      </w:r>
      <w:r>
        <w:t xml:space="preserve"> </w:t>
      </w:r>
      <w:r w:rsidRPr="00002B67">
        <w:t>Despite</w:t>
      </w:r>
      <w:r>
        <w:t xml:space="preserve"> </w:t>
      </w:r>
      <w:r w:rsidRPr="00002B67">
        <w:t xml:space="preserve">work to expand </w:t>
      </w:r>
      <w:r>
        <w:t xml:space="preserve">prevention beyond </w:t>
      </w:r>
      <w:r w:rsidRPr="00002B67">
        <w:t>this and look at</w:t>
      </w:r>
      <w:r>
        <w:t xml:space="preserve"> the</w:t>
      </w:r>
      <w:r w:rsidRPr="00002B67">
        <w:t xml:space="preserve"> commo</w:t>
      </w:r>
      <w:r>
        <w:t>n</w:t>
      </w:r>
      <w:r w:rsidRPr="00002B67">
        <w:t xml:space="preserve"> drivers </w:t>
      </w:r>
      <w:r>
        <w:t>of violence</w:t>
      </w:r>
      <w:r w:rsidRPr="00002B67">
        <w:t xml:space="preserve"> in different relational contexts, there remains </w:t>
      </w:r>
      <w:r w:rsidR="00E17ACC">
        <w:t>more</w:t>
      </w:r>
      <w:r w:rsidR="00E17ACC" w:rsidRPr="00002B67">
        <w:t xml:space="preserve"> </w:t>
      </w:r>
      <w:r w:rsidRPr="00002B67">
        <w:t xml:space="preserve">to be done. </w:t>
      </w:r>
      <w:r w:rsidR="00AE1FD4">
        <w:t xml:space="preserve">Addressing the gendered drivers remains of critical importance, however </w:t>
      </w:r>
      <w:r>
        <w:t>there is room to</w:t>
      </w:r>
      <w:r w:rsidRPr="00002B67">
        <w:t xml:space="preserve"> evolve and nua</w:t>
      </w:r>
      <w:r>
        <w:t>n</w:t>
      </w:r>
      <w:r w:rsidRPr="00002B67">
        <w:t>ce prevention</w:t>
      </w:r>
      <w:r w:rsidR="00A72915">
        <w:t xml:space="preserve"> approaches</w:t>
      </w:r>
      <w:r w:rsidR="00AE1FD4">
        <w:t xml:space="preserve"> to build on </w:t>
      </w:r>
      <w:r w:rsidR="00A16AA4">
        <w:t>existing frameworks</w:t>
      </w:r>
      <w:r w:rsidR="00A72915">
        <w:t>,</w:t>
      </w:r>
      <w:r w:rsidRPr="00002B67">
        <w:t xml:space="preserve"> especially in regard to </w:t>
      </w:r>
      <w:r w:rsidR="00A16AA4">
        <w:t xml:space="preserve">addressing intersections of </w:t>
      </w:r>
      <w:r>
        <w:t>different forms of structural oppression</w:t>
      </w:r>
      <w:r w:rsidR="0002148F">
        <w:t xml:space="preserve"> (</w:t>
      </w:r>
      <w:r w:rsidR="0042763B">
        <w:t>e.g.,</w:t>
      </w:r>
      <w:r w:rsidR="0002148F">
        <w:t xml:space="preserve"> </w:t>
      </w:r>
      <w:hyperlink r:id="rId16" w:history="1">
        <w:r w:rsidR="0002148F" w:rsidRPr="000159D9">
          <w:rPr>
            <w:rStyle w:val="Hyperlink"/>
            <w:rFonts w:ascii="Arial" w:hAnsi="Arial"/>
          </w:rPr>
          <w:t>Pride in Prevention</w:t>
        </w:r>
      </w:hyperlink>
      <w:r w:rsidR="0002148F">
        <w:t xml:space="preserve">; </w:t>
      </w:r>
      <w:hyperlink r:id="rId17" w:history="1">
        <w:r w:rsidR="0002148F" w:rsidRPr="00C277C5">
          <w:rPr>
            <w:rStyle w:val="Hyperlink"/>
            <w:rFonts w:ascii="Arial" w:hAnsi="Arial"/>
          </w:rPr>
          <w:t>Changing the Picture</w:t>
        </w:r>
      </w:hyperlink>
      <w:r w:rsidR="0002148F">
        <w:t xml:space="preserve">; </w:t>
      </w:r>
      <w:hyperlink r:id="rId18" w:history="1">
        <w:r w:rsidR="0002148F" w:rsidRPr="007A629E">
          <w:rPr>
            <w:rStyle w:val="Hyperlink"/>
            <w:rFonts w:ascii="Arial" w:hAnsi="Arial"/>
          </w:rPr>
          <w:t>Changing the Landscape</w:t>
        </w:r>
      </w:hyperlink>
      <w:r w:rsidR="00FB0FDD">
        <w:t>)</w:t>
      </w:r>
      <w:r>
        <w:t xml:space="preserve">. </w:t>
      </w:r>
    </w:p>
    <w:p w14:paraId="1B01B475" w14:textId="18D71F3B" w:rsidR="00EA348F" w:rsidRDefault="006C2289" w:rsidP="00A72915">
      <w:pPr>
        <w:pStyle w:val="ListParagraph"/>
        <w:numPr>
          <w:ilvl w:val="0"/>
          <w:numId w:val="19"/>
        </w:numPr>
      </w:pPr>
      <w:r>
        <w:t>More comprehensive efforts to a</w:t>
      </w:r>
      <w:r w:rsidR="00A72915" w:rsidRPr="0056473E">
        <w:t>ssess the relevance of dominant primary prevention frameworks and interventions with diverse communities w</w:t>
      </w:r>
      <w:r>
        <w:t>ill</w:t>
      </w:r>
      <w:r w:rsidR="00A72915" w:rsidRPr="0056473E">
        <w:t xml:space="preserve"> lead to improvements in messaging and strategies for prevention.</w:t>
      </w:r>
    </w:p>
    <w:p w14:paraId="3100EDE3" w14:textId="503F130E" w:rsidR="00EF1DC9" w:rsidRDefault="008F4DB5" w:rsidP="00EF1DC9">
      <w:pPr>
        <w:pStyle w:val="ListParagraph"/>
        <w:numPr>
          <w:ilvl w:val="0"/>
          <w:numId w:val="21"/>
        </w:numPr>
      </w:pPr>
      <w:r>
        <w:t xml:space="preserve">There has been insufficient focus on </w:t>
      </w:r>
      <w:r w:rsidR="00EF1DC9">
        <w:t>the intersections of gender, race</w:t>
      </w:r>
      <w:r w:rsidR="00A72915">
        <w:t>,</w:t>
      </w:r>
      <w:r w:rsidR="00EF1DC9">
        <w:t xml:space="preserve"> </w:t>
      </w:r>
      <w:proofErr w:type="gramStart"/>
      <w:r w:rsidR="00441C96">
        <w:t>disability</w:t>
      </w:r>
      <w:proofErr w:type="gramEnd"/>
      <w:r w:rsidR="00441C96">
        <w:t xml:space="preserve"> </w:t>
      </w:r>
      <w:r w:rsidR="00EF1DC9">
        <w:t>and sexuality</w:t>
      </w:r>
      <w:r>
        <w:t xml:space="preserve"> in considering how </w:t>
      </w:r>
      <w:r w:rsidR="00A72915">
        <w:t xml:space="preserve">family violence occurs and </w:t>
      </w:r>
      <w:r w:rsidR="001D7432">
        <w:t xml:space="preserve">correspondingly, </w:t>
      </w:r>
      <w:r w:rsidR="00A72915">
        <w:t>in</w:t>
      </w:r>
      <w:r w:rsidR="00EF49F2">
        <w:t xml:space="preserve"> understanding t</w:t>
      </w:r>
      <w:r>
        <w:t xml:space="preserve">he </w:t>
      </w:r>
      <w:r w:rsidR="00CE12CC">
        <w:t xml:space="preserve">intersecting </w:t>
      </w:r>
      <w:r>
        <w:t>dr</w:t>
      </w:r>
      <w:r w:rsidR="00EF49F2">
        <w:t>ivers</w:t>
      </w:r>
      <w:r>
        <w:t xml:space="preserve"> of </w:t>
      </w:r>
      <w:r w:rsidR="00EF49F2">
        <w:t>different forms of family violence.</w:t>
      </w:r>
      <w:r w:rsidR="00EF1DC9">
        <w:t xml:space="preserve">  </w:t>
      </w:r>
    </w:p>
    <w:p w14:paraId="69DC7605" w14:textId="7FE735BC" w:rsidR="00D75C41" w:rsidRPr="002F50B9" w:rsidRDefault="002F50B9" w:rsidP="00D418BF">
      <w:pPr>
        <w:pStyle w:val="Heading5"/>
      </w:pPr>
      <w:r>
        <w:t>O</w:t>
      </w:r>
      <w:r w:rsidR="00D75C41" w:rsidRPr="002F50B9">
        <w:t xml:space="preserve">pportunities </w:t>
      </w:r>
    </w:p>
    <w:p w14:paraId="0BB2E2C7" w14:textId="1618BD75" w:rsidR="00EF1DC9" w:rsidRPr="002F50B9" w:rsidRDefault="00EF1DC9">
      <w:pPr>
        <w:pStyle w:val="ListParagraph"/>
        <w:numPr>
          <w:ilvl w:val="0"/>
          <w:numId w:val="21"/>
        </w:numPr>
      </w:pPr>
      <w:r w:rsidRPr="002F50B9">
        <w:t>There is scope for primary prevention research to be re-oriented towards a more inclusive discussion of common drivers rather than single issues</w:t>
      </w:r>
      <w:r w:rsidR="00510B03">
        <w:t xml:space="preserve">. This may help to facilitate a more collaborative approach </w:t>
      </w:r>
      <w:r w:rsidR="00204909">
        <w:t>to</w:t>
      </w:r>
      <w:r w:rsidRPr="002F50B9">
        <w:t xml:space="preserve"> research. </w:t>
      </w:r>
      <w:r w:rsidR="00EF49F2">
        <w:t xml:space="preserve">This can present opportunities </w:t>
      </w:r>
      <w:r w:rsidR="00EF49F2" w:rsidRPr="0056473E">
        <w:t xml:space="preserve">to </w:t>
      </w:r>
      <w:r w:rsidR="00EF49F2">
        <w:t>understand</w:t>
      </w:r>
      <w:r w:rsidR="00EF49F2" w:rsidRPr="0056473E">
        <w:t xml:space="preserve"> experiences of </w:t>
      </w:r>
      <w:r w:rsidR="00EF49F2">
        <w:t>family violence among a range of</w:t>
      </w:r>
      <w:r w:rsidR="00EF49F2" w:rsidRPr="0056473E">
        <w:t xml:space="preserve"> population groups such as older people, children and young people, </w:t>
      </w:r>
      <w:r w:rsidR="00CD4C56">
        <w:t xml:space="preserve">people with disabilities, </w:t>
      </w:r>
      <w:r w:rsidR="00037715">
        <w:t>trans and gender diverse people,</w:t>
      </w:r>
      <w:r w:rsidR="00EF49F2" w:rsidRPr="0056473E">
        <w:t xml:space="preserve"> and </w:t>
      </w:r>
      <w:r w:rsidR="00037715">
        <w:t xml:space="preserve">other </w:t>
      </w:r>
      <w:r w:rsidR="00EF49F2" w:rsidRPr="0056473E">
        <w:t>LGBTIQ</w:t>
      </w:r>
      <w:r w:rsidR="00037715">
        <w:t>A</w:t>
      </w:r>
      <w:r w:rsidR="00EF49F2" w:rsidRPr="0056473E">
        <w:t xml:space="preserve">+ </w:t>
      </w:r>
      <w:r w:rsidR="00816DA6">
        <w:t>populations</w:t>
      </w:r>
      <w:r w:rsidR="00EF49F2" w:rsidRPr="0056473E">
        <w:t>.</w:t>
      </w:r>
    </w:p>
    <w:p w14:paraId="2DC5D57B" w14:textId="1057EA22" w:rsidR="00EF49F2" w:rsidRDefault="00EF1DC9" w:rsidP="00EF49F2">
      <w:pPr>
        <w:pStyle w:val="ListParagraph"/>
        <w:numPr>
          <w:ilvl w:val="0"/>
          <w:numId w:val="19"/>
        </w:numPr>
      </w:pPr>
      <w:r w:rsidRPr="002F50B9">
        <w:t>Research could reorient towards unpacking patriarchy and dominant forms of power and oppression to articulate common and overlapping drivers for family violence, sexual violence</w:t>
      </w:r>
      <w:r w:rsidR="00EF49F2">
        <w:t>,</w:t>
      </w:r>
      <w:r w:rsidRPr="002F50B9">
        <w:t xml:space="preserve"> and gender-based violence. </w:t>
      </w:r>
    </w:p>
    <w:p w14:paraId="2BF3CBD8" w14:textId="21BA837C" w:rsidR="00EF49F2" w:rsidRPr="0056473E" w:rsidRDefault="00F32260" w:rsidP="00EF49F2">
      <w:pPr>
        <w:pStyle w:val="ListParagraph"/>
        <w:numPr>
          <w:ilvl w:val="0"/>
          <w:numId w:val="19"/>
        </w:numPr>
      </w:pPr>
      <w:r>
        <w:t>There is continued work from different prevention sector actors and researchers examining</w:t>
      </w:r>
      <w:r w:rsidR="00EF6C76">
        <w:t xml:space="preserve"> </w:t>
      </w:r>
      <w:r w:rsidR="00EF49F2" w:rsidRPr="0056473E">
        <w:t xml:space="preserve"> the extent to which the gendered drivers articulated in </w:t>
      </w:r>
      <w:hyperlink r:id="rId19">
        <w:r w:rsidR="00EF49F2" w:rsidRPr="57BB2C55">
          <w:rPr>
            <w:rStyle w:val="Hyperlink"/>
          </w:rPr>
          <w:t>Change the story - Our Watch</w:t>
        </w:r>
      </w:hyperlink>
      <w:r w:rsidR="00EF49F2" w:rsidRPr="0056473E">
        <w:rPr>
          <w:rStyle w:val="Hyperlink"/>
        </w:rPr>
        <w:t xml:space="preserve"> </w:t>
      </w:r>
      <w:r w:rsidR="00EF49F2" w:rsidRPr="0056473E">
        <w:t xml:space="preserve">are applicable to all population groups, including </w:t>
      </w:r>
      <w:r w:rsidR="005C4337">
        <w:t>people with disabilities, Aboriginal and Torres Strait Islander, LGBTIQA+</w:t>
      </w:r>
      <w:r w:rsidR="00EF49F2" w:rsidRPr="0056473E">
        <w:t xml:space="preserve"> and culturally</w:t>
      </w:r>
      <w:r w:rsidR="005C4337">
        <w:t xml:space="preserve"> </w:t>
      </w:r>
      <w:r w:rsidR="00EF49F2" w:rsidRPr="0056473E">
        <w:t xml:space="preserve">diverse </w:t>
      </w:r>
      <w:r w:rsidR="005C4337">
        <w:t xml:space="preserve">persons and </w:t>
      </w:r>
      <w:r w:rsidR="00EF49F2" w:rsidRPr="0056473E">
        <w:t xml:space="preserve">communities. </w:t>
      </w:r>
      <w:r w:rsidR="00965337">
        <w:t xml:space="preserve">This requires ongoing knowledge building efforts, accompanied by avenues to </w:t>
      </w:r>
      <w:proofErr w:type="gramStart"/>
      <w:r w:rsidR="00965337">
        <w:t>share</w:t>
      </w:r>
      <w:proofErr w:type="gramEnd"/>
      <w:r w:rsidR="00965337">
        <w:t xml:space="preserve"> and discuss findings and implications for practice and policy.</w:t>
      </w:r>
    </w:p>
    <w:p w14:paraId="4496FA5F" w14:textId="677E3858" w:rsidR="00B16972" w:rsidRPr="002F50B9" w:rsidRDefault="00EF49F2" w:rsidP="00B36DFF">
      <w:pPr>
        <w:pStyle w:val="ListParagraph"/>
        <w:numPr>
          <w:ilvl w:val="0"/>
          <w:numId w:val="19"/>
        </w:numPr>
      </w:pPr>
      <w:r w:rsidRPr="002F50B9">
        <w:t xml:space="preserve">Primary prevention research would benefit from improved understanding of trauma-informed principles. </w:t>
      </w:r>
      <w:r w:rsidR="00816DA6">
        <w:t>Several participants noted that t</w:t>
      </w:r>
      <w:r w:rsidRPr="002F50B9">
        <w:t>his is particularly important considering the harms that the family violence sector has contributed to in some</w:t>
      </w:r>
      <w:r>
        <w:t xml:space="preserve"> communities through its focus on heteronormative and </w:t>
      </w:r>
      <w:proofErr w:type="spellStart"/>
      <w:r>
        <w:t>cisnormative</w:t>
      </w:r>
      <w:proofErr w:type="spellEnd"/>
      <w:r>
        <w:t xml:space="preserve"> ideologies.</w:t>
      </w:r>
    </w:p>
    <w:p w14:paraId="3B9B8E7E" w14:textId="77777777" w:rsidR="00591752" w:rsidRPr="008B4D3F" w:rsidRDefault="00591752" w:rsidP="00591752">
      <w:pPr>
        <w:pStyle w:val="Heading3"/>
      </w:pPr>
      <w:bookmarkStart w:id="8" w:name="_Toc148363897"/>
      <w:r w:rsidRPr="008B4D3F">
        <w:t xml:space="preserve">Perpetration of </w:t>
      </w:r>
      <w:r>
        <w:t>v</w:t>
      </w:r>
      <w:r w:rsidRPr="008B4D3F">
        <w:t>iolence</w:t>
      </w:r>
      <w:bookmarkEnd w:id="8"/>
      <w:r w:rsidRPr="008B4D3F">
        <w:t xml:space="preserve"> </w:t>
      </w:r>
    </w:p>
    <w:p w14:paraId="24F92B6E" w14:textId="0DB6AB6D" w:rsidR="002F50B9" w:rsidRPr="002F50B9" w:rsidRDefault="002F50B9" w:rsidP="00D418BF">
      <w:pPr>
        <w:pStyle w:val="Heading5"/>
      </w:pPr>
      <w:r w:rsidRPr="002F50B9">
        <w:t>Key discussion points</w:t>
      </w:r>
    </w:p>
    <w:p w14:paraId="59B64540" w14:textId="32E83F8B" w:rsidR="00591752" w:rsidRPr="002F50B9" w:rsidRDefault="00591752" w:rsidP="00591752">
      <w:pPr>
        <w:pStyle w:val="ListParagraph"/>
        <w:numPr>
          <w:ilvl w:val="0"/>
          <w:numId w:val="22"/>
        </w:numPr>
      </w:pPr>
      <w:r w:rsidRPr="002F50B9">
        <w:t>Understanding</w:t>
      </w:r>
      <w:r w:rsidR="002F50B9">
        <w:t xml:space="preserve"> perpetration (</w:t>
      </w:r>
      <w:r w:rsidRPr="002F50B9">
        <w:t>who uses violence and why</w:t>
      </w:r>
      <w:r w:rsidR="002F50B9">
        <w:t>)</w:t>
      </w:r>
      <w:r w:rsidRPr="002F50B9">
        <w:t xml:space="preserve"> would contribute to primary prevention research by helping to shift the discourse around responsibility from victim-</w:t>
      </w:r>
      <w:r w:rsidR="002B4334">
        <w:t>survivors to perpetrators</w:t>
      </w:r>
      <w:r w:rsidR="00965337">
        <w:t xml:space="preserve"> and more broadly, to the normative </w:t>
      </w:r>
      <w:r w:rsidR="00816DA6">
        <w:t xml:space="preserve">and structural </w:t>
      </w:r>
      <w:r w:rsidR="00965337">
        <w:t>dynamics that allow violence to occur</w:t>
      </w:r>
      <w:r w:rsidRPr="002F50B9">
        <w:t>.</w:t>
      </w:r>
    </w:p>
    <w:p w14:paraId="197D44F1" w14:textId="4A06FB40" w:rsidR="002F6BA9" w:rsidRDefault="00E72498" w:rsidP="002F6BA9">
      <w:pPr>
        <w:pStyle w:val="ListParagraph"/>
        <w:numPr>
          <w:ilvl w:val="0"/>
          <w:numId w:val="22"/>
        </w:numPr>
      </w:pPr>
      <w:r>
        <w:t xml:space="preserve">A better understanding of </w:t>
      </w:r>
      <w:r w:rsidR="00591752">
        <w:t>perpetration</w:t>
      </w:r>
      <w:r w:rsidR="00816DA6">
        <w:t xml:space="preserve"> will </w:t>
      </w:r>
      <w:r>
        <w:t xml:space="preserve">also </w:t>
      </w:r>
      <w:r w:rsidR="00591752">
        <w:t>inform</w:t>
      </w:r>
      <w:r w:rsidR="00591752" w:rsidRPr="008901B6">
        <w:t xml:space="preserve"> </w:t>
      </w:r>
      <w:r w:rsidR="00B355ED">
        <w:t xml:space="preserve">and strengthen </w:t>
      </w:r>
      <w:r w:rsidR="00D63F14">
        <w:t>practice</w:t>
      </w:r>
      <w:r w:rsidR="00591752">
        <w:t xml:space="preserve">. </w:t>
      </w:r>
      <w:r w:rsidR="00591752" w:rsidRPr="008901B6">
        <w:t>This was also seen to be congruent with understanding what interventions and program</w:t>
      </w:r>
      <w:r w:rsidR="00591752">
        <w:t>s</w:t>
      </w:r>
      <w:r w:rsidR="00591752" w:rsidRPr="008901B6">
        <w:t xml:space="preserve"> are effective in addressing patriarch</w:t>
      </w:r>
      <w:r w:rsidR="00591752">
        <w:t>al attitudes,</w:t>
      </w:r>
      <w:r w:rsidR="00591752" w:rsidRPr="008901B6">
        <w:t xml:space="preserve"> particular</w:t>
      </w:r>
      <w:r w:rsidR="00591752">
        <w:t>ly among</w:t>
      </w:r>
      <w:r w:rsidR="00591752" w:rsidRPr="008901B6">
        <w:t xml:space="preserve"> young men and boys. </w:t>
      </w:r>
    </w:p>
    <w:p w14:paraId="7A4C8AAF" w14:textId="4895B2AF" w:rsidR="002F50B9" w:rsidRPr="002F50B9" w:rsidRDefault="002F50B9" w:rsidP="00D418BF">
      <w:pPr>
        <w:pStyle w:val="Heading5"/>
      </w:pPr>
      <w:r w:rsidRPr="002F50B9">
        <w:t>Opportunities</w:t>
      </w:r>
    </w:p>
    <w:p w14:paraId="46D3E3D6" w14:textId="07944238" w:rsidR="00CE1C12" w:rsidRDefault="00CE1C12" w:rsidP="00CA0699">
      <w:pPr>
        <w:pStyle w:val="ListParagraph"/>
        <w:numPr>
          <w:ilvl w:val="0"/>
          <w:numId w:val="22"/>
        </w:numPr>
      </w:pPr>
      <w:r w:rsidRPr="002F50B9">
        <w:t>More research is needed to understand</w:t>
      </w:r>
      <w:r w:rsidR="00965337">
        <w:t xml:space="preserve"> and </w:t>
      </w:r>
      <w:r w:rsidR="004972D5">
        <w:t>quantify</w:t>
      </w:r>
      <w:r w:rsidRPr="002F50B9">
        <w:t xml:space="preserve"> the economic burden of the perpetration of violence</w:t>
      </w:r>
      <w:r w:rsidR="001A10EF">
        <w:t xml:space="preserve">. Relatedly, more research is required to </w:t>
      </w:r>
      <w:r w:rsidR="004972D5">
        <w:t>understand the</w:t>
      </w:r>
      <w:r w:rsidR="008026FC">
        <w:t xml:space="preserve"> economic benefit of </w:t>
      </w:r>
      <w:r w:rsidR="001A10EF">
        <w:t xml:space="preserve">addressing </w:t>
      </w:r>
      <w:r w:rsidR="00816DA6">
        <w:t xml:space="preserve">risk and </w:t>
      </w:r>
      <w:r w:rsidR="00A81B9D">
        <w:t xml:space="preserve">drivers of violence </w:t>
      </w:r>
      <w:r w:rsidR="00624190">
        <w:t>through primary</w:t>
      </w:r>
      <w:r w:rsidR="008026FC">
        <w:t xml:space="preserve"> prevention. </w:t>
      </w:r>
    </w:p>
    <w:p w14:paraId="2FA43CD8" w14:textId="6BAD91AC" w:rsidR="00B16972" w:rsidRPr="002F50B9" w:rsidRDefault="00242A81" w:rsidP="00B36DFF">
      <w:pPr>
        <w:pStyle w:val="ListParagraph"/>
        <w:numPr>
          <w:ilvl w:val="0"/>
          <w:numId w:val="22"/>
        </w:numPr>
      </w:pPr>
      <w:r>
        <w:t>A</w:t>
      </w:r>
      <w:r w:rsidR="00BE4251">
        <w:t xml:space="preserve">pplying </w:t>
      </w:r>
      <w:r w:rsidR="008A027D">
        <w:t xml:space="preserve">a primary prevention lens </w:t>
      </w:r>
      <w:r w:rsidR="00BE4251">
        <w:t>to</w:t>
      </w:r>
      <w:r w:rsidR="008A027D">
        <w:t xml:space="preserve"> perpetration studies </w:t>
      </w:r>
      <w:r w:rsidR="00017BE1">
        <w:t>could</w:t>
      </w:r>
      <w:r w:rsidR="008A027D">
        <w:t xml:space="preserve"> help </w:t>
      </w:r>
      <w:r>
        <w:t xml:space="preserve">to </w:t>
      </w:r>
      <w:r w:rsidR="009663AB">
        <w:t xml:space="preserve">ensure </w:t>
      </w:r>
      <w:r>
        <w:t>that</w:t>
      </w:r>
      <w:r w:rsidR="00A6131B">
        <w:t xml:space="preserve"> </w:t>
      </w:r>
      <w:r w:rsidR="00101859">
        <w:t xml:space="preserve">prevention efforts across the family violence continuum </w:t>
      </w:r>
      <w:r w:rsidR="00271397">
        <w:t>focus on driving structural change</w:t>
      </w:r>
      <w:r w:rsidR="00B959FC">
        <w:t xml:space="preserve">, as well </w:t>
      </w:r>
      <w:r w:rsidR="00FE53D6">
        <w:t>targeting</w:t>
      </w:r>
      <w:r w:rsidR="00F1741D">
        <w:t xml:space="preserve"> the actions of indivi</w:t>
      </w:r>
      <w:r w:rsidR="00E95869">
        <w:t>duals</w:t>
      </w:r>
      <w:r w:rsidR="00101859">
        <w:t xml:space="preserve"> </w:t>
      </w:r>
      <w:r w:rsidR="00F564ED">
        <w:t>and the</w:t>
      </w:r>
      <w:r w:rsidR="00101859">
        <w:t xml:space="preserve"> </w:t>
      </w:r>
      <w:r w:rsidR="00E7592A">
        <w:t xml:space="preserve">power dynamics between </w:t>
      </w:r>
      <w:r w:rsidR="002974B3">
        <w:t>victim-survivor and perpetrator</w:t>
      </w:r>
      <w:r w:rsidR="00101859">
        <w:t>.</w:t>
      </w:r>
    </w:p>
    <w:p w14:paraId="41FC4A2F" w14:textId="76E4A0CC" w:rsidR="00591752" w:rsidRPr="00205D32" w:rsidRDefault="002F50B9" w:rsidP="00591752">
      <w:pPr>
        <w:pStyle w:val="Heading3"/>
      </w:pPr>
      <w:bookmarkStart w:id="9" w:name="_Toc148363898"/>
      <w:r>
        <w:t>C</w:t>
      </w:r>
      <w:r w:rsidR="00591752" w:rsidRPr="00205D32">
        <w:t xml:space="preserve">ommunity </w:t>
      </w:r>
      <w:r w:rsidR="00591752">
        <w:t>a</w:t>
      </w:r>
      <w:r w:rsidR="00591752" w:rsidRPr="00205D32">
        <w:t>ttitudes</w:t>
      </w:r>
      <w:bookmarkEnd w:id="9"/>
    </w:p>
    <w:p w14:paraId="022DE0DD" w14:textId="038C6DA3" w:rsidR="002F50B9" w:rsidRPr="005E2EBE" w:rsidRDefault="002F50B9" w:rsidP="00D418BF">
      <w:pPr>
        <w:pStyle w:val="Heading5"/>
      </w:pPr>
      <w:r w:rsidRPr="005E2EBE">
        <w:t>Key discussion points</w:t>
      </w:r>
    </w:p>
    <w:p w14:paraId="1B3244CC" w14:textId="74D0F879" w:rsidR="002F50B9" w:rsidRPr="005E2EBE" w:rsidRDefault="002F50B9" w:rsidP="002F50B9">
      <w:pPr>
        <w:pStyle w:val="ListParagraph"/>
        <w:numPr>
          <w:ilvl w:val="0"/>
          <w:numId w:val="20"/>
        </w:numPr>
      </w:pPr>
      <w:r w:rsidRPr="005E2EBE">
        <w:t xml:space="preserve">The increased visibility of family and domestic violence has seen an escalation of backlash and resistance, in particular towards </w:t>
      </w:r>
      <w:hyperlink r:id="rId20" w:history="1">
        <w:r w:rsidRPr="005E2EBE">
          <w:rPr>
            <w:rStyle w:val="Hyperlink"/>
          </w:rPr>
          <w:t>trans and gender diverse communities</w:t>
        </w:r>
      </w:hyperlink>
      <w:r w:rsidRPr="005E2EBE">
        <w:t xml:space="preserve">. </w:t>
      </w:r>
    </w:p>
    <w:p w14:paraId="06B6CA37" w14:textId="4AD01B8A" w:rsidR="00591752" w:rsidRPr="005E2EBE" w:rsidRDefault="00591752" w:rsidP="002F50B9">
      <w:pPr>
        <w:pStyle w:val="ListParagraph"/>
        <w:numPr>
          <w:ilvl w:val="0"/>
          <w:numId w:val="20"/>
        </w:numPr>
      </w:pPr>
      <w:r w:rsidRPr="005E2EBE">
        <w:t>While there is robust</w:t>
      </w:r>
      <w:r w:rsidR="003D0E85">
        <w:t xml:space="preserve"> national</w:t>
      </w:r>
      <w:r w:rsidRPr="005E2EBE">
        <w:t xml:space="preserve"> data on community attitudes</w:t>
      </w:r>
      <w:hyperlink r:id="rId21" w:history="1">
        <w:r w:rsidRPr="00020A91">
          <w:rPr>
            <w:rStyle w:val="Hyperlink"/>
            <w:rFonts w:ascii="Arial" w:hAnsi="Arial"/>
          </w:rPr>
          <w:t xml:space="preserve"> (NCAS),</w:t>
        </w:r>
      </w:hyperlink>
      <w:r w:rsidRPr="005E2EBE">
        <w:t xml:space="preserve"> more needs to be done to understand why attitudes have not changed despite years of primary prevention interventions.  </w:t>
      </w:r>
    </w:p>
    <w:p w14:paraId="790BABA7" w14:textId="3DBC1298" w:rsidR="002F50B9" w:rsidRPr="005E2EBE" w:rsidRDefault="002F50B9" w:rsidP="00D418BF">
      <w:pPr>
        <w:pStyle w:val="Heading5"/>
      </w:pPr>
      <w:r w:rsidRPr="005E2EBE">
        <w:t>Opportunities</w:t>
      </w:r>
    </w:p>
    <w:p w14:paraId="24FECA88" w14:textId="772E7716" w:rsidR="00A56F7E" w:rsidRPr="005E2EBE" w:rsidRDefault="005E2EBE" w:rsidP="00A56F7E">
      <w:pPr>
        <w:pStyle w:val="ListParagraph"/>
        <w:numPr>
          <w:ilvl w:val="0"/>
          <w:numId w:val="20"/>
        </w:numPr>
      </w:pPr>
      <w:r w:rsidRPr="005E2EBE">
        <w:t xml:space="preserve">Primary prevention research can examine why some attitudes are stagnant or have not shifted despite investments. </w:t>
      </w:r>
    </w:p>
    <w:p w14:paraId="07F22269" w14:textId="38941BE4" w:rsidR="00A56F7E" w:rsidRPr="005E2EBE" w:rsidRDefault="00A56F7E" w:rsidP="00A56F7E">
      <w:pPr>
        <w:pStyle w:val="ListParagraph"/>
        <w:numPr>
          <w:ilvl w:val="0"/>
          <w:numId w:val="20"/>
        </w:numPr>
      </w:pPr>
      <w:r w:rsidRPr="005E2EBE">
        <w:t>There is scope to explore social media and media commentary and how this influences community and individual attitudes towards family and domestic violence, and more broadly violence against women.</w:t>
      </w:r>
    </w:p>
    <w:p w14:paraId="66E0BFD2" w14:textId="77777777" w:rsidR="002F50B9" w:rsidRPr="005E2EBE" w:rsidRDefault="00591752" w:rsidP="00591752">
      <w:pPr>
        <w:pStyle w:val="ListParagraph"/>
        <w:numPr>
          <w:ilvl w:val="0"/>
          <w:numId w:val="20"/>
        </w:numPr>
      </w:pPr>
      <w:r w:rsidRPr="005E2EBE">
        <w:t>Research is needed on the cause of backlash and its impact on affected communities</w:t>
      </w:r>
      <w:r w:rsidR="002F50B9" w:rsidRPr="005E2EBE">
        <w:t>, particularly trans and gender diverse communities</w:t>
      </w:r>
    </w:p>
    <w:p w14:paraId="2E9E1FB9" w14:textId="5160A7ED" w:rsidR="00B16972" w:rsidRDefault="002F50B9" w:rsidP="00020A91">
      <w:pPr>
        <w:pStyle w:val="ListParagraph"/>
        <w:numPr>
          <w:ilvl w:val="0"/>
          <w:numId w:val="20"/>
        </w:numPr>
      </w:pPr>
      <w:r w:rsidRPr="005E2EBE">
        <w:t xml:space="preserve">Primary prevention research could benefit from a mapping of </w:t>
      </w:r>
      <w:r w:rsidR="00591752" w:rsidRPr="005E2EBE">
        <w:t>organised and funded resistance</w:t>
      </w:r>
      <w:r w:rsidR="003F31B4">
        <w:t xml:space="preserve"> against gender equality</w:t>
      </w:r>
      <w:r w:rsidR="00326469">
        <w:t xml:space="preserve">, including that which is represented in the ‘Manosphere’ and </w:t>
      </w:r>
      <w:r w:rsidR="00DF292E">
        <w:t xml:space="preserve">which targets </w:t>
      </w:r>
      <w:r w:rsidR="000F5D96">
        <w:t xml:space="preserve">trans and gender diverse people, First Nations women and </w:t>
      </w:r>
      <w:r w:rsidR="00AE4B99">
        <w:t>that is otherwise racialized</w:t>
      </w:r>
      <w:r w:rsidRPr="005E2EBE">
        <w:t xml:space="preserve">. </w:t>
      </w:r>
    </w:p>
    <w:p w14:paraId="28F73FB9" w14:textId="0AA08E6E" w:rsidR="00834EF8" w:rsidRDefault="00DE3163" w:rsidP="004A566E">
      <w:pPr>
        <w:pStyle w:val="Heading2"/>
      </w:pPr>
      <w:bookmarkStart w:id="10" w:name="_Toc148363899"/>
      <w:r>
        <w:t>Summary and i</w:t>
      </w:r>
      <w:r w:rsidR="00834EF8">
        <w:t>mplications</w:t>
      </w:r>
      <w:bookmarkEnd w:id="10"/>
    </w:p>
    <w:p w14:paraId="7536DFE1" w14:textId="4FB5D65F" w:rsidR="007A0EE5" w:rsidRDefault="000D64D4" w:rsidP="00B74390">
      <w:r>
        <w:t xml:space="preserve">The </w:t>
      </w:r>
      <w:r w:rsidR="007A0EE5">
        <w:t>symposium shed light on</w:t>
      </w:r>
      <w:r w:rsidR="003211AF">
        <w:t xml:space="preserve"> </w:t>
      </w:r>
      <w:r w:rsidR="007A0EE5">
        <w:t xml:space="preserve">opportunities to advance approaches for primary prevention research, </w:t>
      </w:r>
      <w:r w:rsidR="00962AA7">
        <w:t xml:space="preserve">key </w:t>
      </w:r>
      <w:proofErr w:type="gramStart"/>
      <w:r w:rsidR="00286773">
        <w:t>topics</w:t>
      </w:r>
      <w:proofErr w:type="gramEnd"/>
      <w:r w:rsidR="00286773">
        <w:t xml:space="preserve"> </w:t>
      </w:r>
      <w:r w:rsidR="003211AF">
        <w:t xml:space="preserve">and </w:t>
      </w:r>
      <w:r w:rsidR="00962AA7">
        <w:t xml:space="preserve">questions of relevance across primary prevention research, </w:t>
      </w:r>
      <w:r w:rsidR="003211AF">
        <w:t>and</w:t>
      </w:r>
      <w:r w:rsidR="00701B44">
        <w:t xml:space="preserve"> </w:t>
      </w:r>
      <w:r w:rsidR="00962AA7">
        <w:t xml:space="preserve">considerations for future engagement within the primary prevention research community. </w:t>
      </w:r>
      <w:r w:rsidR="00701B44">
        <w:t>Each of these is summarised below,</w:t>
      </w:r>
      <w:r>
        <w:t xml:space="preserve"> synthesising the information presented throughout the report. </w:t>
      </w:r>
    </w:p>
    <w:p w14:paraId="32FA024A" w14:textId="1B0894B0" w:rsidR="004A566E" w:rsidRPr="004A566E" w:rsidRDefault="00D418BF" w:rsidP="00D418BF">
      <w:pPr>
        <w:pStyle w:val="Heading5"/>
      </w:pPr>
      <w:r>
        <w:t xml:space="preserve">How research </w:t>
      </w:r>
      <w:r w:rsidR="004A566E" w:rsidRPr="004A566E">
        <w:t>approaches</w:t>
      </w:r>
      <w:r w:rsidR="00BB03E9">
        <w:t xml:space="preserve"> can evolve </w:t>
      </w:r>
    </w:p>
    <w:p w14:paraId="229FA17C" w14:textId="55728A1A" w:rsidR="00BB03E9" w:rsidRDefault="00B74390" w:rsidP="00B74390">
      <w:pPr>
        <w:pStyle w:val="ListParagraph"/>
        <w:numPr>
          <w:ilvl w:val="0"/>
          <w:numId w:val="15"/>
        </w:numPr>
        <w:spacing w:after="0"/>
        <w:contextualSpacing w:val="0"/>
      </w:pPr>
      <w:r w:rsidRPr="00693AAB">
        <w:t>Integrating frameworks such as decolonisation and intersectionality in primary prevention research</w:t>
      </w:r>
    </w:p>
    <w:p w14:paraId="3096DBD7" w14:textId="2DD67E03" w:rsidR="007E630C" w:rsidRDefault="007E630C" w:rsidP="00B74390">
      <w:pPr>
        <w:pStyle w:val="ListParagraph"/>
        <w:numPr>
          <w:ilvl w:val="0"/>
          <w:numId w:val="15"/>
        </w:numPr>
        <w:spacing w:after="0"/>
        <w:contextualSpacing w:val="0"/>
      </w:pPr>
      <w:r>
        <w:t>Incorporating power analyses systematically into primary prevention research</w:t>
      </w:r>
    </w:p>
    <w:p w14:paraId="280707E8" w14:textId="4469978E" w:rsidR="00407CA4" w:rsidRDefault="00407CA4" w:rsidP="00B74390">
      <w:pPr>
        <w:pStyle w:val="ListParagraph"/>
        <w:numPr>
          <w:ilvl w:val="0"/>
          <w:numId w:val="15"/>
        </w:numPr>
        <w:spacing w:after="0"/>
        <w:contextualSpacing w:val="0"/>
      </w:pPr>
      <w:r>
        <w:t>Integrating trauma-informed approaches into primary prevention research</w:t>
      </w:r>
    </w:p>
    <w:p w14:paraId="0571ED16" w14:textId="3B02EAE4" w:rsidR="00B74390" w:rsidRPr="00693AAB" w:rsidRDefault="00BB03E9" w:rsidP="00B74390">
      <w:pPr>
        <w:pStyle w:val="ListParagraph"/>
        <w:numPr>
          <w:ilvl w:val="0"/>
          <w:numId w:val="15"/>
        </w:numPr>
        <w:spacing w:after="0"/>
        <w:contextualSpacing w:val="0"/>
      </w:pPr>
      <w:r>
        <w:t>Ex</w:t>
      </w:r>
      <w:r w:rsidR="00B74390" w:rsidRPr="00693AAB">
        <w:t>amining joint drivers</w:t>
      </w:r>
      <w:r>
        <w:t xml:space="preserve"> of different types of violence</w:t>
      </w:r>
      <w:r w:rsidR="00B74390" w:rsidRPr="00693AAB">
        <w:t xml:space="preserve"> </w:t>
      </w:r>
      <w:r w:rsidR="00DF0264">
        <w:t xml:space="preserve">as part of </w:t>
      </w:r>
      <w:r w:rsidR="00DF0264" w:rsidRPr="002F50B9">
        <w:t>inclusive</w:t>
      </w:r>
      <w:r w:rsidR="00DF0264">
        <w:t xml:space="preserve"> and collaborative</w:t>
      </w:r>
      <w:r w:rsidR="00DF0264" w:rsidRPr="002F50B9">
        <w:t xml:space="preserve"> discussion</w:t>
      </w:r>
      <w:r w:rsidR="00DF0264">
        <w:t>s</w:t>
      </w:r>
      <w:r w:rsidR="00DF0264" w:rsidRPr="002F50B9">
        <w:t xml:space="preserve"> of common drivers rather than single issues</w:t>
      </w:r>
    </w:p>
    <w:p w14:paraId="63B40768" w14:textId="0E4021B4" w:rsidR="004A566E" w:rsidRDefault="002974B3" w:rsidP="004A566E">
      <w:pPr>
        <w:pStyle w:val="ListParagraph"/>
        <w:numPr>
          <w:ilvl w:val="0"/>
          <w:numId w:val="15"/>
        </w:numPr>
        <w:tabs>
          <w:tab w:val="left" w:pos="8150"/>
          <w:tab w:val="right" w:pos="10274"/>
        </w:tabs>
        <w:spacing w:after="0"/>
        <w:contextualSpacing w:val="0"/>
      </w:pPr>
      <w:r>
        <w:t xml:space="preserve">Utilising </w:t>
      </w:r>
      <w:r w:rsidR="00542EF6">
        <w:t xml:space="preserve">and promoting use of </w:t>
      </w:r>
      <w:r>
        <w:t>existing research</w:t>
      </w:r>
      <w:r w:rsidR="00B74390" w:rsidRPr="00693AAB">
        <w:t xml:space="preserve"> principles that guide engagement with diverse population groups</w:t>
      </w:r>
      <w:r w:rsidR="00F85C2A">
        <w:t xml:space="preserve">, including </w:t>
      </w:r>
      <w:hyperlink r:id="rId22" w:anchor=":~:text=The%20National%20Statement%20is%20grounded,fields%2C%20and%20to%20specific%20participants." w:history="1">
        <w:r w:rsidR="00F85C2A" w:rsidRPr="004972D5">
          <w:rPr>
            <w:rStyle w:val="Hyperlink"/>
            <w:rFonts w:ascii="Arial" w:hAnsi="Arial"/>
          </w:rPr>
          <w:t>Aboriginal and Torres Strait Islander pe</w:t>
        </w:r>
        <w:r w:rsidR="00D901FA" w:rsidRPr="004972D5">
          <w:rPr>
            <w:rStyle w:val="Hyperlink"/>
            <w:rFonts w:ascii="Arial" w:hAnsi="Arial"/>
          </w:rPr>
          <w:t>rsons and communities</w:t>
        </w:r>
      </w:hyperlink>
      <w:r w:rsidR="00402B58">
        <w:t xml:space="preserve">. There may be opportunity to </w:t>
      </w:r>
      <w:r>
        <w:t>explor</w:t>
      </w:r>
      <w:r w:rsidR="00402B58">
        <w:t>e</w:t>
      </w:r>
      <w:r>
        <w:t xml:space="preserve"> </w:t>
      </w:r>
      <w:r w:rsidR="00542EF6">
        <w:t>ways of developing these further for</w:t>
      </w:r>
      <w:r w:rsidR="00402B58">
        <w:t xml:space="preserve"> applied</w:t>
      </w:r>
      <w:r w:rsidR="00542EF6">
        <w:t xml:space="preserve"> primary prevention </w:t>
      </w:r>
      <w:r w:rsidR="00402B58">
        <w:t>research</w:t>
      </w:r>
      <w:r w:rsidR="00D6686A">
        <w:t>, particularly for researchers working outside of academia</w:t>
      </w:r>
      <w:r w:rsidR="00C906DE">
        <w:t xml:space="preserve"> who may not have direct connection to human research ethics committees.</w:t>
      </w:r>
    </w:p>
    <w:p w14:paraId="7EA1214E" w14:textId="738D8079" w:rsidR="00B74390" w:rsidRDefault="004A566E" w:rsidP="004A566E">
      <w:pPr>
        <w:pStyle w:val="ListParagraph"/>
        <w:numPr>
          <w:ilvl w:val="0"/>
          <w:numId w:val="15"/>
        </w:numPr>
        <w:tabs>
          <w:tab w:val="left" w:pos="8150"/>
          <w:tab w:val="right" w:pos="10274"/>
        </w:tabs>
        <w:spacing w:after="0"/>
        <w:contextualSpacing w:val="0"/>
      </w:pPr>
      <w:r w:rsidRPr="00693AAB">
        <w:t>Finding ways to measure</w:t>
      </w:r>
      <w:r w:rsidR="00BB03E9">
        <w:t xml:space="preserve">, </w:t>
      </w:r>
      <w:r w:rsidRPr="00693AAB">
        <w:t>document</w:t>
      </w:r>
      <w:r w:rsidR="00BB03E9">
        <w:t xml:space="preserve"> and </w:t>
      </w:r>
      <w:r w:rsidRPr="00693AAB">
        <w:t>celebrate broader vie</w:t>
      </w:r>
      <w:r w:rsidR="00BB03E9">
        <w:t>ws</w:t>
      </w:r>
      <w:r w:rsidRPr="00693AAB">
        <w:t xml:space="preserve"> of</w:t>
      </w:r>
      <w:r w:rsidR="00BB03E9">
        <w:t xml:space="preserve"> primary prevention</w:t>
      </w:r>
      <w:r w:rsidRPr="00693AAB">
        <w:t xml:space="preserve"> success</w:t>
      </w:r>
    </w:p>
    <w:p w14:paraId="042B45CA" w14:textId="4DF38787" w:rsidR="00AF36C3" w:rsidRDefault="00AF36C3">
      <w:pPr>
        <w:pStyle w:val="ListParagraph"/>
        <w:numPr>
          <w:ilvl w:val="0"/>
          <w:numId w:val="15"/>
        </w:numPr>
        <w:spacing w:after="0"/>
        <w:contextualSpacing w:val="0"/>
      </w:pPr>
      <w:r>
        <w:t>Developing strategies to i</w:t>
      </w:r>
      <w:r w:rsidR="000A6329">
        <w:t>mplement primary prevention research</w:t>
      </w:r>
      <w:r>
        <w:t xml:space="preserve">, monitoring and evaluation findings in a timely fashion </w:t>
      </w:r>
      <w:r w:rsidR="00245F39">
        <w:t>and within programmatic timeframes</w:t>
      </w:r>
    </w:p>
    <w:p w14:paraId="647D868C" w14:textId="02F2C8E9" w:rsidR="005C4482" w:rsidRDefault="005C4482">
      <w:pPr>
        <w:pStyle w:val="ListParagraph"/>
        <w:numPr>
          <w:ilvl w:val="0"/>
          <w:numId w:val="15"/>
        </w:numPr>
        <w:spacing w:after="0"/>
        <w:contextualSpacing w:val="0"/>
      </w:pPr>
      <w:r>
        <w:t xml:space="preserve">Collaboration to </w:t>
      </w:r>
      <w:r w:rsidRPr="00B16972">
        <w:rPr>
          <w:color w:val="003639" w:themeColor="text2"/>
        </w:rPr>
        <w:t>strengthen national definitions and data sets across the family violence</w:t>
      </w:r>
      <w:r>
        <w:rPr>
          <w:color w:val="003639" w:themeColor="text2"/>
        </w:rPr>
        <w:t>, violence against women,</w:t>
      </w:r>
      <w:r w:rsidRPr="00B16972">
        <w:rPr>
          <w:color w:val="003639" w:themeColor="text2"/>
        </w:rPr>
        <w:t xml:space="preserve"> </w:t>
      </w:r>
      <w:r w:rsidRPr="00EF1DC9">
        <w:t>and sexual assault sector</w:t>
      </w:r>
      <w:r>
        <w:t>s</w:t>
      </w:r>
    </w:p>
    <w:p w14:paraId="4811A61D" w14:textId="683A0CD2" w:rsidR="00AB4AB3" w:rsidRDefault="00AB4AB3">
      <w:pPr>
        <w:pStyle w:val="ListParagraph"/>
        <w:numPr>
          <w:ilvl w:val="0"/>
          <w:numId w:val="15"/>
        </w:numPr>
      </w:pPr>
      <w:r w:rsidRPr="00AB4AB3">
        <w:rPr>
          <w:color w:val="003639" w:themeColor="text2"/>
        </w:rPr>
        <w:t xml:space="preserve">Supporting and developing guidelines for meaningful and genuine collaboration and consultation with peak bodies, </w:t>
      </w:r>
      <w:proofErr w:type="gramStart"/>
      <w:r w:rsidRPr="00AB4AB3">
        <w:rPr>
          <w:color w:val="003639" w:themeColor="text2"/>
        </w:rPr>
        <w:t>community</w:t>
      </w:r>
      <w:proofErr w:type="gramEnd"/>
      <w:r w:rsidRPr="00AB4AB3">
        <w:rPr>
          <w:color w:val="003639" w:themeColor="text2"/>
        </w:rPr>
        <w:t xml:space="preserve"> and other sectors </w:t>
      </w:r>
    </w:p>
    <w:p w14:paraId="0687B602" w14:textId="3222422F" w:rsidR="00B74390" w:rsidRDefault="00AF36C3">
      <w:pPr>
        <w:pStyle w:val="ListParagraph"/>
        <w:numPr>
          <w:ilvl w:val="0"/>
          <w:numId w:val="15"/>
        </w:numPr>
        <w:spacing w:after="0"/>
        <w:contextualSpacing w:val="0"/>
      </w:pPr>
      <w:r>
        <w:t>T</w:t>
      </w:r>
      <w:r w:rsidR="00B74390" w:rsidRPr="00693AAB">
        <w:t xml:space="preserve">ranslating research </w:t>
      </w:r>
      <w:r w:rsidR="000A6329">
        <w:t xml:space="preserve">findings </w:t>
      </w:r>
      <w:r w:rsidR="00B74390" w:rsidRPr="00693AAB">
        <w:t>into practice</w:t>
      </w:r>
      <w:r w:rsidR="00FB4B71">
        <w:t xml:space="preserve"> and for </w:t>
      </w:r>
      <w:proofErr w:type="gramStart"/>
      <w:r w:rsidR="00FB4B71">
        <w:t>policy-makers</w:t>
      </w:r>
      <w:proofErr w:type="gramEnd"/>
      <w:r w:rsidR="00B74390" w:rsidRPr="00693AAB">
        <w:t xml:space="preserve"> in ways that are more broadly accessible </w:t>
      </w:r>
      <w:r w:rsidR="00BB03E9">
        <w:t>and s</w:t>
      </w:r>
      <w:r w:rsidR="00B74390" w:rsidRPr="00693AAB">
        <w:t>haring research findings more widely.</w:t>
      </w:r>
    </w:p>
    <w:p w14:paraId="1F44326E" w14:textId="77777777" w:rsidR="004A566E" w:rsidRDefault="004A566E" w:rsidP="004A566E">
      <w:pPr>
        <w:spacing w:after="0"/>
        <w:rPr>
          <w:b/>
          <w:bCs/>
          <w:i/>
          <w:iCs/>
        </w:rPr>
      </w:pPr>
    </w:p>
    <w:p w14:paraId="729F6545" w14:textId="652347AD" w:rsidR="004A566E" w:rsidRDefault="00D53B92" w:rsidP="00D418BF">
      <w:pPr>
        <w:pStyle w:val="Heading5"/>
      </w:pPr>
      <w:r>
        <w:t>Topics of</w:t>
      </w:r>
      <w:r w:rsidR="00235F86">
        <w:t xml:space="preserve"> relevance for primary prevention research </w:t>
      </w:r>
      <w:r>
        <w:t xml:space="preserve">that merit further exploration </w:t>
      </w:r>
    </w:p>
    <w:p w14:paraId="1F5E2A31" w14:textId="66C35041" w:rsidR="00B74390" w:rsidRPr="00693AAB" w:rsidRDefault="00B74390" w:rsidP="00B74390">
      <w:pPr>
        <w:pStyle w:val="ListParagraph"/>
        <w:numPr>
          <w:ilvl w:val="0"/>
          <w:numId w:val="15"/>
        </w:numPr>
        <w:spacing w:after="0"/>
        <w:contextualSpacing w:val="0"/>
      </w:pPr>
      <w:r w:rsidRPr="00693AAB">
        <w:t>Exploring the notion of backlash and how this impacts not only women but other population groups</w:t>
      </w:r>
      <w:r w:rsidR="00BA47B3">
        <w:t>, and mapping organised resistance to prevention</w:t>
      </w:r>
    </w:p>
    <w:p w14:paraId="7A856DDE" w14:textId="6B325E85" w:rsidR="00B74390" w:rsidRPr="00693AAB" w:rsidRDefault="00B74390" w:rsidP="00B74390">
      <w:pPr>
        <w:pStyle w:val="ListParagraph"/>
        <w:numPr>
          <w:ilvl w:val="0"/>
          <w:numId w:val="15"/>
        </w:numPr>
        <w:spacing w:after="0"/>
        <w:contextualSpacing w:val="0"/>
      </w:pPr>
      <w:r w:rsidRPr="00693AAB">
        <w:t>Investigating why</w:t>
      </w:r>
      <w:r w:rsidR="00CE10C6">
        <w:t xml:space="preserve"> some</w:t>
      </w:r>
      <w:r w:rsidRPr="00693AAB">
        <w:t xml:space="preserve"> community attitudes </w:t>
      </w:r>
      <w:r w:rsidR="00CE10C6">
        <w:t>that relat</w:t>
      </w:r>
      <w:r w:rsidR="006D6288">
        <w:t>e</w:t>
      </w:r>
      <w:r w:rsidR="00CE10C6">
        <w:t xml:space="preserve">d to the </w:t>
      </w:r>
      <w:r w:rsidR="004C174F">
        <w:t xml:space="preserve">drivers </w:t>
      </w:r>
      <w:r w:rsidR="002E7DF3">
        <w:t xml:space="preserve">or perpetration of violence </w:t>
      </w:r>
      <w:r w:rsidRPr="00693AAB">
        <w:t>have not improved</w:t>
      </w:r>
      <w:r w:rsidR="00720B53">
        <w:t xml:space="preserve"> as significantly </w:t>
      </w:r>
      <w:r w:rsidR="0024472C">
        <w:t>as hoped</w:t>
      </w:r>
      <w:r w:rsidR="006D6288">
        <w:t>. This should</w:t>
      </w:r>
      <w:r w:rsidR="007D5310">
        <w:t xml:space="preserve"> includ</w:t>
      </w:r>
      <w:r w:rsidR="006D6288">
        <w:t>e</w:t>
      </w:r>
      <w:r w:rsidR="007D5310">
        <w:t xml:space="preserve"> </w:t>
      </w:r>
      <w:r w:rsidR="00B60E03">
        <w:t>focus on the effects of backlash and resistance on uptake</w:t>
      </w:r>
      <w:r w:rsidRPr="00693AAB">
        <w:t xml:space="preserve"> of primary prevention messages.</w:t>
      </w:r>
    </w:p>
    <w:p w14:paraId="6BD4D635" w14:textId="4A234341" w:rsidR="00B74390" w:rsidRPr="00693AAB" w:rsidRDefault="00286773" w:rsidP="00B74390">
      <w:pPr>
        <w:pStyle w:val="ListParagraph"/>
        <w:numPr>
          <w:ilvl w:val="0"/>
          <w:numId w:val="15"/>
        </w:numPr>
        <w:spacing w:after="0"/>
        <w:contextualSpacing w:val="0"/>
      </w:pPr>
      <w:r>
        <w:t>Considering</w:t>
      </w:r>
      <w:r w:rsidR="00B74390" w:rsidRPr="00693AAB">
        <w:t xml:space="preserve"> the role of primary prevention </w:t>
      </w:r>
      <w:r w:rsidR="005D4636">
        <w:t xml:space="preserve">frameworks </w:t>
      </w:r>
      <w:r w:rsidR="00B74390" w:rsidRPr="00693AAB">
        <w:t xml:space="preserve">in </w:t>
      </w:r>
      <w:r w:rsidR="00B60E03">
        <w:t>research focused on perpetration</w:t>
      </w:r>
      <w:r w:rsidR="006D6288">
        <w:t>,</w:t>
      </w:r>
      <w:r w:rsidR="004A566E">
        <w:t xml:space="preserve"> and how </w:t>
      </w:r>
      <w:r w:rsidR="004972D5">
        <w:t xml:space="preserve">better </w:t>
      </w:r>
      <w:r w:rsidR="004A566E">
        <w:t>perpetration research can inform</w:t>
      </w:r>
      <w:r w:rsidR="003D4803">
        <w:t xml:space="preserve"> nuanced</w:t>
      </w:r>
      <w:r w:rsidR="004A566E">
        <w:t xml:space="preserve"> </w:t>
      </w:r>
      <w:r w:rsidR="003D4803">
        <w:t xml:space="preserve">understandings and application of </w:t>
      </w:r>
      <w:r w:rsidR="004A566E">
        <w:t>primary prevention</w:t>
      </w:r>
      <w:r w:rsidR="003D4803">
        <w:t xml:space="preserve"> practice and policy</w:t>
      </w:r>
      <w:r w:rsidR="004A566E">
        <w:t>.</w:t>
      </w:r>
    </w:p>
    <w:p w14:paraId="0524338C" w14:textId="7CC95549" w:rsidR="00BA47B3" w:rsidRDefault="00B74390" w:rsidP="00064851">
      <w:pPr>
        <w:pStyle w:val="ListParagraph"/>
        <w:numPr>
          <w:ilvl w:val="0"/>
          <w:numId w:val="15"/>
        </w:numPr>
        <w:spacing w:after="0"/>
        <w:contextualSpacing w:val="0"/>
      </w:pPr>
      <w:r w:rsidRPr="00693AAB">
        <w:t>Supporting community</w:t>
      </w:r>
      <w:r w:rsidR="00286773">
        <w:t>-</w:t>
      </w:r>
      <w:r w:rsidRPr="00693AAB">
        <w:t>based</w:t>
      </w:r>
      <w:r w:rsidR="00286773">
        <w:t xml:space="preserve"> and community-</w:t>
      </w:r>
      <w:r w:rsidRPr="00693AAB">
        <w:t xml:space="preserve">led research and democratising how questions and objectives and priorities are set and chosen </w:t>
      </w:r>
      <w:r w:rsidR="004A566E">
        <w:t>in inclusive ways.</w:t>
      </w:r>
    </w:p>
    <w:p w14:paraId="3883EA4D" w14:textId="66C51400" w:rsidR="00146295" w:rsidRDefault="003D4803" w:rsidP="00146295">
      <w:pPr>
        <w:pStyle w:val="ListParagraph"/>
        <w:numPr>
          <w:ilvl w:val="0"/>
          <w:numId w:val="15"/>
        </w:numPr>
      </w:pPr>
      <w:r>
        <w:t>Developing better quantification and modelling</w:t>
      </w:r>
      <w:r w:rsidR="009E1B06">
        <w:t xml:space="preserve"> </w:t>
      </w:r>
      <w:r>
        <w:t>of</w:t>
      </w:r>
      <w:r w:rsidR="00146295">
        <w:t xml:space="preserve"> the economic benefit of violence prevention. </w:t>
      </w:r>
    </w:p>
    <w:p w14:paraId="35129717" w14:textId="72594119" w:rsidR="007A0EE5" w:rsidRDefault="005672B3" w:rsidP="00D418BF">
      <w:pPr>
        <w:pStyle w:val="Heading5"/>
      </w:pPr>
      <w:r>
        <w:t xml:space="preserve">Key </w:t>
      </w:r>
      <w:r w:rsidR="007A0EE5" w:rsidRPr="005672B3">
        <w:t xml:space="preserve">questions </w:t>
      </w:r>
      <w:r>
        <w:t>connected the diverse themes discussed in the symposium</w:t>
      </w:r>
    </w:p>
    <w:p w14:paraId="253B1A75" w14:textId="53C70526" w:rsidR="007A0EE5" w:rsidRPr="00693AAB" w:rsidRDefault="007A0EE5" w:rsidP="007A0EE5">
      <w:pPr>
        <w:pStyle w:val="ListParagraph"/>
        <w:numPr>
          <w:ilvl w:val="0"/>
          <w:numId w:val="15"/>
        </w:numPr>
        <w:spacing w:after="0"/>
        <w:contextualSpacing w:val="0"/>
      </w:pPr>
      <w:r w:rsidRPr="00693AAB">
        <w:t xml:space="preserve">How do </w:t>
      </w:r>
      <w:r>
        <w:t>we avoid</w:t>
      </w:r>
      <w:r w:rsidRPr="00693AAB">
        <w:t xml:space="preserve"> replic</w:t>
      </w:r>
      <w:r>
        <w:t>ating</w:t>
      </w:r>
      <w:r w:rsidRPr="00693AAB">
        <w:t xml:space="preserve"> systems of violence in our consultation and engagement with community and other sectors (e.g.</w:t>
      </w:r>
      <w:r w:rsidR="009E1B06">
        <w:t>,</w:t>
      </w:r>
      <w:r w:rsidRPr="00693AAB">
        <w:t xml:space="preserve"> </w:t>
      </w:r>
      <w:r>
        <w:t xml:space="preserve">through </w:t>
      </w:r>
      <w:r w:rsidRPr="00693AAB">
        <w:t>extractive research</w:t>
      </w:r>
      <w:r w:rsidR="00254F35">
        <w:t xml:space="preserve"> and/or not </w:t>
      </w:r>
      <w:r w:rsidR="00953364">
        <w:t xml:space="preserve">facilitating </w:t>
      </w:r>
      <w:r w:rsidR="00DF14DB">
        <w:t>translation of findings back to participants and affected communities</w:t>
      </w:r>
      <w:r w:rsidRPr="00693AAB">
        <w:t>)?</w:t>
      </w:r>
      <w:r w:rsidRPr="004359C2">
        <w:t xml:space="preserve"> </w:t>
      </w:r>
    </w:p>
    <w:p w14:paraId="6772D0D2" w14:textId="3DEE8A01" w:rsidR="007A0EE5" w:rsidRDefault="007A0EE5" w:rsidP="007A0EE5">
      <w:pPr>
        <w:pStyle w:val="ListParagraph"/>
        <w:numPr>
          <w:ilvl w:val="0"/>
          <w:numId w:val="15"/>
        </w:numPr>
        <w:spacing w:after="0"/>
        <w:contextualSpacing w:val="0"/>
      </w:pPr>
      <w:r w:rsidRPr="00693AAB">
        <w:t xml:space="preserve">How </w:t>
      </w:r>
      <w:r>
        <w:t>can primary prevention</w:t>
      </w:r>
      <w:r w:rsidRPr="00693AAB">
        <w:t xml:space="preserve"> research </w:t>
      </w:r>
      <w:r>
        <w:t>b</w:t>
      </w:r>
      <w:r w:rsidRPr="00693AAB">
        <w:t>ecome less segmented</w:t>
      </w:r>
      <w:r>
        <w:t xml:space="preserve">, </w:t>
      </w:r>
      <w:r w:rsidRPr="00693AAB">
        <w:t>work in an inter-sectorial and inter-disciplinary way</w:t>
      </w:r>
      <w:r>
        <w:t>, and connect better with practice</w:t>
      </w:r>
      <w:r w:rsidRPr="00693AAB">
        <w:t xml:space="preserve">? </w:t>
      </w:r>
      <w:r w:rsidR="008A3B2E">
        <w:t>How might this be translated to policy</w:t>
      </w:r>
      <w:r w:rsidR="006D6288">
        <w:t xml:space="preserve"> and policy advice</w:t>
      </w:r>
      <w:r w:rsidR="008A3B2E">
        <w:t>?</w:t>
      </w:r>
    </w:p>
    <w:p w14:paraId="3AC1EBB8" w14:textId="2354347E" w:rsidR="007A0EE5" w:rsidRPr="00693AAB" w:rsidRDefault="007A0EE5" w:rsidP="007A0EE5">
      <w:pPr>
        <w:pStyle w:val="ListParagraph"/>
        <w:numPr>
          <w:ilvl w:val="0"/>
          <w:numId w:val="15"/>
        </w:numPr>
        <w:spacing w:after="0"/>
        <w:contextualSpacing w:val="0"/>
      </w:pPr>
      <w:r w:rsidRPr="00693AAB">
        <w:t>How do we ensure that we are considering</w:t>
      </w:r>
      <w:r>
        <w:t xml:space="preserve"> experiences of violence </w:t>
      </w:r>
      <w:r w:rsidR="004972D5">
        <w:t>perpetrated against pe</w:t>
      </w:r>
      <w:r w:rsidR="00352495">
        <w:t xml:space="preserve">rsons and communities most affected by intersecting sources of structural discrimination </w:t>
      </w:r>
      <w:r>
        <w:t xml:space="preserve">and </w:t>
      </w:r>
      <w:r w:rsidRPr="00693AAB">
        <w:t xml:space="preserve">tailoring prevention strategies to their needs? </w:t>
      </w:r>
    </w:p>
    <w:p w14:paraId="3C7CCD1B" w14:textId="36109B6A" w:rsidR="007A0EE5" w:rsidRDefault="007A0EE5" w:rsidP="007A0EE5">
      <w:pPr>
        <w:pStyle w:val="ListParagraph"/>
        <w:numPr>
          <w:ilvl w:val="0"/>
          <w:numId w:val="15"/>
        </w:numPr>
        <w:spacing w:after="0"/>
        <w:contextualSpacing w:val="0"/>
      </w:pPr>
      <w:r w:rsidRPr="00693AAB">
        <w:t xml:space="preserve">What does meaningful knowledge production look like? How </w:t>
      </w:r>
      <w:r>
        <w:t>can we</w:t>
      </w:r>
      <w:r w:rsidRPr="00693AAB">
        <w:t xml:space="preserve"> </w:t>
      </w:r>
      <w:r w:rsidR="006D6288">
        <w:t>expand conceptions of</w:t>
      </w:r>
      <w:r w:rsidRPr="00693AAB">
        <w:t xml:space="preserve"> what </w:t>
      </w:r>
      <w:r w:rsidR="00E305EA">
        <w:t>is</w:t>
      </w:r>
      <w:r w:rsidR="006D6288">
        <w:t xml:space="preserve"> viewed as</w:t>
      </w:r>
      <w:r w:rsidRPr="00693AAB">
        <w:t xml:space="preserve"> </w:t>
      </w:r>
      <w:r w:rsidR="006D6288">
        <w:t>‘</w:t>
      </w:r>
      <w:r w:rsidRPr="00693AAB">
        <w:t>acceptable</w:t>
      </w:r>
      <w:r w:rsidR="006D6288">
        <w:t>’</w:t>
      </w:r>
      <w:r w:rsidRPr="00693AAB">
        <w:t xml:space="preserve"> forms of evidence? </w:t>
      </w:r>
    </w:p>
    <w:p w14:paraId="1AD567CB" w14:textId="4010F0F7" w:rsidR="007A0EE5" w:rsidRDefault="007A0EE5" w:rsidP="007A0EE5">
      <w:pPr>
        <w:pStyle w:val="ListParagraph"/>
        <w:numPr>
          <w:ilvl w:val="0"/>
          <w:numId w:val="15"/>
        </w:numPr>
        <w:spacing w:after="0"/>
        <w:contextualSpacing w:val="0"/>
      </w:pPr>
      <w:r>
        <w:t>How can the primary prevention research community navigate the range of disciplines and belief systems and frameworks that underpin our work</w:t>
      </w:r>
      <w:r w:rsidR="007B3861">
        <w:t xml:space="preserve">, </w:t>
      </w:r>
      <w:r>
        <w:t xml:space="preserve">with curiosity not judgement? </w:t>
      </w:r>
    </w:p>
    <w:p w14:paraId="07FB8834" w14:textId="77777777" w:rsidR="007A0EE5" w:rsidRDefault="007A0EE5" w:rsidP="007A0EE5">
      <w:pPr>
        <w:pStyle w:val="ListParagraph"/>
        <w:numPr>
          <w:ilvl w:val="0"/>
          <w:numId w:val="15"/>
        </w:numPr>
        <w:spacing w:after="0"/>
        <w:contextualSpacing w:val="0"/>
      </w:pPr>
      <w:r>
        <w:t>What are the points of alignment and opportunities for greater engagement and knowledge-sharing between academic and community-based action-researchers?</w:t>
      </w:r>
    </w:p>
    <w:p w14:paraId="57A4E1DF" w14:textId="77777777" w:rsidR="007A0EE5" w:rsidRDefault="007A0EE5" w:rsidP="007A0EE5">
      <w:pPr>
        <w:pStyle w:val="ListParagraph"/>
        <w:numPr>
          <w:ilvl w:val="0"/>
          <w:numId w:val="15"/>
        </w:numPr>
        <w:spacing w:after="0"/>
        <w:contextualSpacing w:val="0"/>
      </w:pPr>
      <w:r>
        <w:t>What are the benefits and tensions in challenging the categorisations within the continuum of prevention approaches?</w:t>
      </w:r>
    </w:p>
    <w:p w14:paraId="78CA1391" w14:textId="77777777" w:rsidR="007A0EE5" w:rsidRPr="00693AAB" w:rsidRDefault="007A0EE5" w:rsidP="007A0EE5">
      <w:pPr>
        <w:spacing w:after="0"/>
      </w:pPr>
    </w:p>
    <w:p w14:paraId="32FD89AA" w14:textId="12338C86" w:rsidR="004A566E" w:rsidRPr="004A566E" w:rsidRDefault="004A566E" w:rsidP="00D418BF">
      <w:pPr>
        <w:pStyle w:val="Heading5"/>
      </w:pPr>
      <w:r w:rsidRPr="004A566E">
        <w:t xml:space="preserve">Future engagement among </w:t>
      </w:r>
      <w:r>
        <w:t xml:space="preserve">primary prevention </w:t>
      </w:r>
      <w:r w:rsidRPr="004A566E">
        <w:t>research actors</w:t>
      </w:r>
    </w:p>
    <w:p w14:paraId="26F680DF" w14:textId="033BCD28" w:rsidR="005672B3" w:rsidRDefault="00F71AA8" w:rsidP="005672B3">
      <w:pPr>
        <w:pStyle w:val="ListParagraph"/>
        <w:numPr>
          <w:ilvl w:val="0"/>
          <w:numId w:val="29"/>
        </w:numPr>
        <w:spacing w:after="0"/>
      </w:pPr>
      <w:r>
        <w:t>There is an appetite</w:t>
      </w:r>
      <w:r w:rsidR="00420A6C">
        <w:t xml:space="preserve"> among participants</w:t>
      </w:r>
      <w:r>
        <w:t xml:space="preserve"> to continue to</w:t>
      </w:r>
      <w:r w:rsidR="00B74390" w:rsidRPr="00693AAB">
        <w:t xml:space="preserve"> build more trust and continue the</w:t>
      </w:r>
      <w:r w:rsidR="00B16972">
        <w:t xml:space="preserve"> novel</w:t>
      </w:r>
      <w:r w:rsidR="00B74390" w:rsidRPr="00693AAB">
        <w:t xml:space="preserve"> conversation</w:t>
      </w:r>
      <w:r>
        <w:t>s started in the symposium</w:t>
      </w:r>
      <w:r w:rsidR="0042763B">
        <w:t>.</w:t>
      </w:r>
      <w:r w:rsidR="00F61AC0">
        <w:t xml:space="preserve"> This was informed by a desire for greater collaboration</w:t>
      </w:r>
      <w:r w:rsidR="00B70707">
        <w:t xml:space="preserve"> and collective innovation, and to </w:t>
      </w:r>
      <w:r w:rsidR="00743F8F">
        <w:t xml:space="preserve">better understand how to build complementarity between work led </w:t>
      </w:r>
      <w:r w:rsidR="00242A81">
        <w:t>by different organisations or parts of the sector.</w:t>
      </w:r>
    </w:p>
    <w:p w14:paraId="16C1A35D" w14:textId="4FBA3F57" w:rsidR="00420A6C" w:rsidRDefault="009411C6" w:rsidP="005672B3">
      <w:pPr>
        <w:pStyle w:val="ListParagraph"/>
        <w:numPr>
          <w:ilvl w:val="0"/>
          <w:numId w:val="29"/>
        </w:numPr>
        <w:spacing w:after="0"/>
      </w:pPr>
      <w:r>
        <w:t xml:space="preserve">Several participants noted that </w:t>
      </w:r>
      <w:r w:rsidR="009A3E8C">
        <w:t xml:space="preserve">future events should consider engagement with stakeholders from smaller organisations or who </w:t>
      </w:r>
      <w:r w:rsidR="00E37A0F">
        <w:t xml:space="preserve">bring different lived experience of structural oppressions into </w:t>
      </w:r>
      <w:r w:rsidR="001673C8">
        <w:t>conversations about prevention priorities</w:t>
      </w:r>
      <w:r w:rsidR="0042763B">
        <w:t>.</w:t>
      </w:r>
    </w:p>
    <w:p w14:paraId="6BF69E2F" w14:textId="371CBC7B" w:rsidR="005672B3" w:rsidRDefault="00B70313" w:rsidP="005672B3">
      <w:pPr>
        <w:pStyle w:val="ListParagraph"/>
        <w:numPr>
          <w:ilvl w:val="0"/>
          <w:numId w:val="29"/>
        </w:numPr>
        <w:spacing w:after="0"/>
      </w:pPr>
      <w:r>
        <w:t>Collective exploration can help define what</w:t>
      </w:r>
      <w:r w:rsidRPr="00693AAB">
        <w:t xml:space="preserve"> architecture </w:t>
      </w:r>
      <w:r>
        <w:t>might be suited to create similar opportunities to bring those engaged in primary prevention focused</w:t>
      </w:r>
      <w:r w:rsidRPr="00693AAB">
        <w:t xml:space="preserve"> </w:t>
      </w:r>
      <w:r>
        <w:t>research together to</w:t>
      </w:r>
      <w:r w:rsidRPr="00693AAB">
        <w:t xml:space="preserve"> develop </w:t>
      </w:r>
      <w:r>
        <w:t xml:space="preserve">a </w:t>
      </w:r>
      <w:r w:rsidRPr="00693AAB">
        <w:t xml:space="preserve">common </w:t>
      </w:r>
      <w:r>
        <w:t>understanding of primary prevention research and</w:t>
      </w:r>
      <w:r w:rsidRPr="00693AAB">
        <w:t xml:space="preserve"> </w:t>
      </w:r>
      <w:r>
        <w:t>promote</w:t>
      </w:r>
      <w:r w:rsidRPr="00693AAB">
        <w:t xml:space="preserve"> further </w:t>
      </w:r>
      <w:r>
        <w:t xml:space="preserve">joint </w:t>
      </w:r>
      <w:r w:rsidRPr="00693AAB">
        <w:t>reflection</w:t>
      </w:r>
      <w:r w:rsidR="0042763B">
        <w:t>.</w:t>
      </w:r>
      <w:r w:rsidR="00BB03E9">
        <w:t xml:space="preserve"> </w:t>
      </w:r>
    </w:p>
    <w:p w14:paraId="2E0570DA" w14:textId="0FD78A71" w:rsidR="00B70313" w:rsidRDefault="00B70313" w:rsidP="005672B3">
      <w:pPr>
        <w:pStyle w:val="ListParagraph"/>
        <w:numPr>
          <w:ilvl w:val="0"/>
          <w:numId w:val="29"/>
        </w:numPr>
        <w:spacing w:after="0"/>
      </w:pPr>
      <w:r>
        <w:t>Respect Victoria will continue to connect with symposium participants and other stakeholders to explore different modalities to advance the conversations started in the symposium.</w:t>
      </w:r>
    </w:p>
    <w:p w14:paraId="0ABCA7E3" w14:textId="378900BE" w:rsidR="004A566E" w:rsidRDefault="004A566E" w:rsidP="004A566E">
      <w:pPr>
        <w:pStyle w:val="ListParagraph"/>
        <w:tabs>
          <w:tab w:val="left" w:pos="8150"/>
          <w:tab w:val="right" w:pos="10274"/>
        </w:tabs>
        <w:spacing w:after="0"/>
        <w:contextualSpacing w:val="0"/>
      </w:pPr>
    </w:p>
    <w:p w14:paraId="4416C4DE" w14:textId="31F52B21" w:rsidR="001D740B" w:rsidRPr="00D94744" w:rsidRDefault="001D740B" w:rsidP="004A566E">
      <w:pPr>
        <w:pStyle w:val="ListParagraph"/>
        <w:tabs>
          <w:tab w:val="left" w:pos="8150"/>
          <w:tab w:val="right" w:pos="10274"/>
        </w:tabs>
        <w:spacing w:after="0"/>
        <w:contextualSpacing w:val="0"/>
      </w:pPr>
    </w:p>
    <w:sectPr w:rsidR="001D740B" w:rsidRPr="00D94744" w:rsidSect="00D0724A">
      <w:footerReference w:type="default" r:id="rId23"/>
      <w:type w:val="continuous"/>
      <w:pgSz w:w="11906" w:h="16838"/>
      <w:pgMar w:top="816" w:right="816" w:bottom="816"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43F5" w14:textId="77777777" w:rsidR="00AE76C0" w:rsidRDefault="00AE76C0" w:rsidP="002B7883">
      <w:r>
        <w:separator/>
      </w:r>
    </w:p>
  </w:endnote>
  <w:endnote w:type="continuationSeparator" w:id="0">
    <w:p w14:paraId="739963AC" w14:textId="77777777" w:rsidR="00AE76C0" w:rsidRDefault="00AE76C0" w:rsidP="002B7883">
      <w:r>
        <w:continuationSeparator/>
      </w:r>
    </w:p>
  </w:endnote>
  <w:endnote w:type="continuationNotice" w:id="1">
    <w:p w14:paraId="1899D584" w14:textId="77777777" w:rsidR="00AE76C0" w:rsidRDefault="00AE7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DC0B" w14:textId="77777777" w:rsidR="00D418BF" w:rsidRDefault="00D418BF">
    <w:pPr>
      <w:pStyle w:val="Footer"/>
    </w:pPr>
  </w:p>
  <w:p w14:paraId="25CACA47" w14:textId="06B9D39D" w:rsidR="00D418BF" w:rsidRDefault="00D418BF">
    <w:pPr>
      <w:pStyle w:val="Footer"/>
    </w:pPr>
    <w:r>
      <w:t>Primary Prevention Research Symposium Summary Report</w:t>
    </w:r>
    <w:r>
      <w:tab/>
    </w:r>
    <w:r>
      <w:tab/>
    </w:r>
    <w:r>
      <w:tab/>
    </w:r>
    <w:sdt>
      <w:sdtPr>
        <w:id w:val="654648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C771222" w14:textId="56200774" w:rsidR="00314B50" w:rsidRDefault="0031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9384" w14:textId="77777777" w:rsidR="00AE76C0" w:rsidRDefault="00AE76C0" w:rsidP="002B7883">
      <w:r>
        <w:separator/>
      </w:r>
    </w:p>
  </w:footnote>
  <w:footnote w:type="continuationSeparator" w:id="0">
    <w:p w14:paraId="48AB1901" w14:textId="77777777" w:rsidR="00AE76C0" w:rsidRDefault="00AE76C0" w:rsidP="002B7883">
      <w:r>
        <w:continuationSeparator/>
      </w:r>
    </w:p>
  </w:footnote>
  <w:footnote w:type="continuationNotice" w:id="1">
    <w:p w14:paraId="61BC1307" w14:textId="77777777" w:rsidR="00AE76C0" w:rsidRDefault="00AE7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52A"/>
    <w:multiLevelType w:val="hybridMultilevel"/>
    <w:tmpl w:val="E24C1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9B6633"/>
    <w:multiLevelType w:val="hybridMultilevel"/>
    <w:tmpl w:val="E5569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623B7"/>
    <w:multiLevelType w:val="hybridMultilevel"/>
    <w:tmpl w:val="988A4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770F0"/>
    <w:multiLevelType w:val="hybridMultilevel"/>
    <w:tmpl w:val="082A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C6F30"/>
    <w:multiLevelType w:val="hybridMultilevel"/>
    <w:tmpl w:val="B4A6D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D4143"/>
    <w:multiLevelType w:val="hybridMultilevel"/>
    <w:tmpl w:val="E3FA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D56BD"/>
    <w:multiLevelType w:val="hybridMultilevel"/>
    <w:tmpl w:val="D27C6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B2132"/>
    <w:multiLevelType w:val="hybridMultilevel"/>
    <w:tmpl w:val="5A30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165D3"/>
    <w:multiLevelType w:val="hybridMultilevel"/>
    <w:tmpl w:val="3A240034"/>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C3727"/>
    <w:multiLevelType w:val="hybridMultilevel"/>
    <w:tmpl w:val="2640E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0E0B94"/>
    <w:multiLevelType w:val="hybridMultilevel"/>
    <w:tmpl w:val="F5347C98"/>
    <w:lvl w:ilvl="0" w:tplc="A9F48A4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6303A"/>
    <w:multiLevelType w:val="hybridMultilevel"/>
    <w:tmpl w:val="E0B4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222D6"/>
    <w:multiLevelType w:val="hybridMultilevel"/>
    <w:tmpl w:val="3C6EB426"/>
    <w:lvl w:ilvl="0" w:tplc="048832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22E76"/>
    <w:multiLevelType w:val="hybridMultilevel"/>
    <w:tmpl w:val="4504221E"/>
    <w:lvl w:ilvl="0" w:tplc="27E4B24C">
      <w:start w:val="1"/>
      <w:numFmt w:val="bullet"/>
      <w:lvlText w:val="-"/>
      <w:lvlJc w:val="left"/>
      <w:pPr>
        <w:tabs>
          <w:tab w:val="num" w:pos="720"/>
        </w:tabs>
        <w:ind w:left="720" w:hanging="360"/>
      </w:pPr>
      <w:rPr>
        <w:rFonts w:ascii="Times New Roman" w:hAnsi="Times New Roman" w:hint="default"/>
      </w:rPr>
    </w:lvl>
    <w:lvl w:ilvl="1" w:tplc="AB8CCF9C" w:tentative="1">
      <w:start w:val="1"/>
      <w:numFmt w:val="bullet"/>
      <w:lvlText w:val="-"/>
      <w:lvlJc w:val="left"/>
      <w:pPr>
        <w:tabs>
          <w:tab w:val="num" w:pos="1440"/>
        </w:tabs>
        <w:ind w:left="1440" w:hanging="360"/>
      </w:pPr>
      <w:rPr>
        <w:rFonts w:ascii="Times New Roman" w:hAnsi="Times New Roman" w:hint="default"/>
      </w:rPr>
    </w:lvl>
    <w:lvl w:ilvl="2" w:tplc="0FC8C826" w:tentative="1">
      <w:start w:val="1"/>
      <w:numFmt w:val="bullet"/>
      <w:lvlText w:val="-"/>
      <w:lvlJc w:val="left"/>
      <w:pPr>
        <w:tabs>
          <w:tab w:val="num" w:pos="2160"/>
        </w:tabs>
        <w:ind w:left="2160" w:hanging="360"/>
      </w:pPr>
      <w:rPr>
        <w:rFonts w:ascii="Times New Roman" w:hAnsi="Times New Roman" w:hint="default"/>
      </w:rPr>
    </w:lvl>
    <w:lvl w:ilvl="3" w:tplc="EE468582" w:tentative="1">
      <w:start w:val="1"/>
      <w:numFmt w:val="bullet"/>
      <w:lvlText w:val="-"/>
      <w:lvlJc w:val="left"/>
      <w:pPr>
        <w:tabs>
          <w:tab w:val="num" w:pos="2880"/>
        </w:tabs>
        <w:ind w:left="2880" w:hanging="360"/>
      </w:pPr>
      <w:rPr>
        <w:rFonts w:ascii="Times New Roman" w:hAnsi="Times New Roman" w:hint="default"/>
      </w:rPr>
    </w:lvl>
    <w:lvl w:ilvl="4" w:tplc="585AD3D8" w:tentative="1">
      <w:start w:val="1"/>
      <w:numFmt w:val="bullet"/>
      <w:lvlText w:val="-"/>
      <w:lvlJc w:val="left"/>
      <w:pPr>
        <w:tabs>
          <w:tab w:val="num" w:pos="3600"/>
        </w:tabs>
        <w:ind w:left="3600" w:hanging="360"/>
      </w:pPr>
      <w:rPr>
        <w:rFonts w:ascii="Times New Roman" w:hAnsi="Times New Roman" w:hint="default"/>
      </w:rPr>
    </w:lvl>
    <w:lvl w:ilvl="5" w:tplc="9BD83F12" w:tentative="1">
      <w:start w:val="1"/>
      <w:numFmt w:val="bullet"/>
      <w:lvlText w:val="-"/>
      <w:lvlJc w:val="left"/>
      <w:pPr>
        <w:tabs>
          <w:tab w:val="num" w:pos="4320"/>
        </w:tabs>
        <w:ind w:left="4320" w:hanging="360"/>
      </w:pPr>
      <w:rPr>
        <w:rFonts w:ascii="Times New Roman" w:hAnsi="Times New Roman" w:hint="default"/>
      </w:rPr>
    </w:lvl>
    <w:lvl w:ilvl="6" w:tplc="E7949BC0" w:tentative="1">
      <w:start w:val="1"/>
      <w:numFmt w:val="bullet"/>
      <w:lvlText w:val="-"/>
      <w:lvlJc w:val="left"/>
      <w:pPr>
        <w:tabs>
          <w:tab w:val="num" w:pos="5040"/>
        </w:tabs>
        <w:ind w:left="5040" w:hanging="360"/>
      </w:pPr>
      <w:rPr>
        <w:rFonts w:ascii="Times New Roman" w:hAnsi="Times New Roman" w:hint="default"/>
      </w:rPr>
    </w:lvl>
    <w:lvl w:ilvl="7" w:tplc="8264DD20" w:tentative="1">
      <w:start w:val="1"/>
      <w:numFmt w:val="bullet"/>
      <w:lvlText w:val="-"/>
      <w:lvlJc w:val="left"/>
      <w:pPr>
        <w:tabs>
          <w:tab w:val="num" w:pos="5760"/>
        </w:tabs>
        <w:ind w:left="5760" w:hanging="360"/>
      </w:pPr>
      <w:rPr>
        <w:rFonts w:ascii="Times New Roman" w:hAnsi="Times New Roman" w:hint="default"/>
      </w:rPr>
    </w:lvl>
    <w:lvl w:ilvl="8" w:tplc="BC06EB3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256756"/>
    <w:multiLevelType w:val="hybridMultilevel"/>
    <w:tmpl w:val="3A9CD6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5605A9"/>
    <w:multiLevelType w:val="hybridMultilevel"/>
    <w:tmpl w:val="9042B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3F6AFF"/>
    <w:multiLevelType w:val="hybridMultilevel"/>
    <w:tmpl w:val="F8CA1D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DA11BD4"/>
    <w:multiLevelType w:val="multilevel"/>
    <w:tmpl w:val="CBD08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83561ED"/>
    <w:multiLevelType w:val="hybridMultilevel"/>
    <w:tmpl w:val="897A745E"/>
    <w:lvl w:ilvl="0" w:tplc="9C20FB9E">
      <w:numFmt w:val="bullet"/>
      <w:lvlText w:val="-"/>
      <w:lvlJc w:val="left"/>
      <w:pPr>
        <w:ind w:left="410" w:hanging="360"/>
      </w:pPr>
      <w:rPr>
        <w:rFonts w:ascii="Calibri" w:eastAsiaTheme="minorHAnsi" w:hAnsi="Calibri" w:cs="Calibr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0" w15:restartNumberingAfterBreak="0">
    <w:nsid w:val="4C31267E"/>
    <w:multiLevelType w:val="hybridMultilevel"/>
    <w:tmpl w:val="AFDA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94361"/>
    <w:multiLevelType w:val="hybridMultilevel"/>
    <w:tmpl w:val="377CE9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AF0189"/>
    <w:multiLevelType w:val="hybridMultilevel"/>
    <w:tmpl w:val="C5D2A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C94AF8"/>
    <w:multiLevelType w:val="hybridMultilevel"/>
    <w:tmpl w:val="91A6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745712"/>
    <w:multiLevelType w:val="hybridMultilevel"/>
    <w:tmpl w:val="1740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9C1085"/>
    <w:multiLevelType w:val="hybridMultilevel"/>
    <w:tmpl w:val="D67C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4B0CC0"/>
    <w:multiLevelType w:val="hybridMultilevel"/>
    <w:tmpl w:val="13ECBF1A"/>
    <w:lvl w:ilvl="0" w:tplc="F5321AA8">
      <w:start w:val="1"/>
      <w:numFmt w:val="decimal"/>
      <w:lvlText w:val="%1."/>
      <w:lvlJc w:val="left"/>
      <w:pPr>
        <w:ind w:left="410" w:hanging="360"/>
      </w:pPr>
      <w:rPr>
        <w:rFonts w:asciiTheme="minorHAnsi" w:eastAsiaTheme="minorHAnsi" w:hAnsiTheme="minorHAnsi" w:cstheme="minorBidi"/>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7" w15:restartNumberingAfterBreak="0">
    <w:nsid w:val="7B095227"/>
    <w:multiLevelType w:val="hybridMultilevel"/>
    <w:tmpl w:val="BC24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67103"/>
    <w:multiLevelType w:val="hybridMultilevel"/>
    <w:tmpl w:val="7E8A0A14"/>
    <w:lvl w:ilvl="0" w:tplc="FBE89EC6">
      <w:start w:val="1"/>
      <w:numFmt w:val="bullet"/>
      <w:lvlText w:val="-"/>
      <w:lvlJc w:val="left"/>
      <w:pPr>
        <w:tabs>
          <w:tab w:val="num" w:pos="720"/>
        </w:tabs>
        <w:ind w:left="720" w:hanging="360"/>
      </w:pPr>
      <w:rPr>
        <w:rFonts w:ascii="Times New Roman" w:hAnsi="Times New Roman" w:hint="default"/>
      </w:rPr>
    </w:lvl>
    <w:lvl w:ilvl="1" w:tplc="B0E4C00E" w:tentative="1">
      <w:start w:val="1"/>
      <w:numFmt w:val="bullet"/>
      <w:lvlText w:val="-"/>
      <w:lvlJc w:val="left"/>
      <w:pPr>
        <w:tabs>
          <w:tab w:val="num" w:pos="1440"/>
        </w:tabs>
        <w:ind w:left="1440" w:hanging="360"/>
      </w:pPr>
      <w:rPr>
        <w:rFonts w:ascii="Times New Roman" w:hAnsi="Times New Roman" w:hint="default"/>
      </w:rPr>
    </w:lvl>
    <w:lvl w:ilvl="2" w:tplc="73365C16" w:tentative="1">
      <w:start w:val="1"/>
      <w:numFmt w:val="bullet"/>
      <w:lvlText w:val="-"/>
      <w:lvlJc w:val="left"/>
      <w:pPr>
        <w:tabs>
          <w:tab w:val="num" w:pos="2160"/>
        </w:tabs>
        <w:ind w:left="2160" w:hanging="360"/>
      </w:pPr>
      <w:rPr>
        <w:rFonts w:ascii="Times New Roman" w:hAnsi="Times New Roman" w:hint="default"/>
      </w:rPr>
    </w:lvl>
    <w:lvl w:ilvl="3" w:tplc="54D6289E" w:tentative="1">
      <w:start w:val="1"/>
      <w:numFmt w:val="bullet"/>
      <w:lvlText w:val="-"/>
      <w:lvlJc w:val="left"/>
      <w:pPr>
        <w:tabs>
          <w:tab w:val="num" w:pos="2880"/>
        </w:tabs>
        <w:ind w:left="2880" w:hanging="360"/>
      </w:pPr>
      <w:rPr>
        <w:rFonts w:ascii="Times New Roman" w:hAnsi="Times New Roman" w:hint="default"/>
      </w:rPr>
    </w:lvl>
    <w:lvl w:ilvl="4" w:tplc="B540F88C" w:tentative="1">
      <w:start w:val="1"/>
      <w:numFmt w:val="bullet"/>
      <w:lvlText w:val="-"/>
      <w:lvlJc w:val="left"/>
      <w:pPr>
        <w:tabs>
          <w:tab w:val="num" w:pos="3600"/>
        </w:tabs>
        <w:ind w:left="3600" w:hanging="360"/>
      </w:pPr>
      <w:rPr>
        <w:rFonts w:ascii="Times New Roman" w:hAnsi="Times New Roman" w:hint="default"/>
      </w:rPr>
    </w:lvl>
    <w:lvl w:ilvl="5" w:tplc="C206D46C" w:tentative="1">
      <w:start w:val="1"/>
      <w:numFmt w:val="bullet"/>
      <w:lvlText w:val="-"/>
      <w:lvlJc w:val="left"/>
      <w:pPr>
        <w:tabs>
          <w:tab w:val="num" w:pos="4320"/>
        </w:tabs>
        <w:ind w:left="4320" w:hanging="360"/>
      </w:pPr>
      <w:rPr>
        <w:rFonts w:ascii="Times New Roman" w:hAnsi="Times New Roman" w:hint="default"/>
      </w:rPr>
    </w:lvl>
    <w:lvl w:ilvl="6" w:tplc="EB1E6A6C" w:tentative="1">
      <w:start w:val="1"/>
      <w:numFmt w:val="bullet"/>
      <w:lvlText w:val="-"/>
      <w:lvlJc w:val="left"/>
      <w:pPr>
        <w:tabs>
          <w:tab w:val="num" w:pos="5040"/>
        </w:tabs>
        <w:ind w:left="5040" w:hanging="360"/>
      </w:pPr>
      <w:rPr>
        <w:rFonts w:ascii="Times New Roman" w:hAnsi="Times New Roman" w:hint="default"/>
      </w:rPr>
    </w:lvl>
    <w:lvl w:ilvl="7" w:tplc="389E6792" w:tentative="1">
      <w:start w:val="1"/>
      <w:numFmt w:val="bullet"/>
      <w:lvlText w:val="-"/>
      <w:lvlJc w:val="left"/>
      <w:pPr>
        <w:tabs>
          <w:tab w:val="num" w:pos="5760"/>
        </w:tabs>
        <w:ind w:left="5760" w:hanging="360"/>
      </w:pPr>
      <w:rPr>
        <w:rFonts w:ascii="Times New Roman" w:hAnsi="Times New Roman" w:hint="default"/>
      </w:rPr>
    </w:lvl>
    <w:lvl w:ilvl="8" w:tplc="B1686C1E" w:tentative="1">
      <w:start w:val="1"/>
      <w:numFmt w:val="bullet"/>
      <w:lvlText w:val="-"/>
      <w:lvlJc w:val="left"/>
      <w:pPr>
        <w:tabs>
          <w:tab w:val="num" w:pos="6480"/>
        </w:tabs>
        <w:ind w:left="6480" w:hanging="360"/>
      </w:pPr>
      <w:rPr>
        <w:rFonts w:ascii="Times New Roman" w:hAnsi="Times New Roman" w:hint="default"/>
      </w:rPr>
    </w:lvl>
  </w:abstractNum>
  <w:num w:numId="1" w16cid:durableId="461271962">
    <w:abstractNumId w:val="11"/>
  </w:num>
  <w:num w:numId="2" w16cid:durableId="1481380998">
    <w:abstractNumId w:val="19"/>
  </w:num>
  <w:num w:numId="3" w16cid:durableId="2073429845">
    <w:abstractNumId w:val="18"/>
  </w:num>
  <w:num w:numId="4" w16cid:durableId="867914002">
    <w:abstractNumId w:val="26"/>
  </w:num>
  <w:num w:numId="5" w16cid:durableId="914244772">
    <w:abstractNumId w:val="21"/>
  </w:num>
  <w:num w:numId="6" w16cid:durableId="526912594">
    <w:abstractNumId w:val="0"/>
  </w:num>
  <w:num w:numId="7" w16cid:durableId="1157310107">
    <w:abstractNumId w:val="12"/>
  </w:num>
  <w:num w:numId="8" w16cid:durableId="789935952">
    <w:abstractNumId w:val="20"/>
  </w:num>
  <w:num w:numId="9" w16cid:durableId="260989327">
    <w:abstractNumId w:val="9"/>
  </w:num>
  <w:num w:numId="10" w16cid:durableId="102966783">
    <w:abstractNumId w:val="13"/>
  </w:num>
  <w:num w:numId="11" w16cid:durableId="1952322154">
    <w:abstractNumId w:val="5"/>
  </w:num>
  <w:num w:numId="12" w16cid:durableId="1948582572">
    <w:abstractNumId w:val="15"/>
  </w:num>
  <w:num w:numId="13" w16cid:durableId="1802769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54287">
    <w:abstractNumId w:val="22"/>
  </w:num>
  <w:num w:numId="15" w16cid:durableId="304624388">
    <w:abstractNumId w:val="2"/>
  </w:num>
  <w:num w:numId="16" w16cid:durableId="1652058201">
    <w:abstractNumId w:val="23"/>
  </w:num>
  <w:num w:numId="17" w16cid:durableId="1560166469">
    <w:abstractNumId w:val="1"/>
  </w:num>
  <w:num w:numId="18" w16cid:durableId="1466510778">
    <w:abstractNumId w:val="3"/>
  </w:num>
  <w:num w:numId="19" w16cid:durableId="690104122">
    <w:abstractNumId w:val="7"/>
  </w:num>
  <w:num w:numId="20" w16cid:durableId="1402291088">
    <w:abstractNumId w:val="6"/>
  </w:num>
  <w:num w:numId="21" w16cid:durableId="896821405">
    <w:abstractNumId w:val="10"/>
  </w:num>
  <w:num w:numId="22" w16cid:durableId="1344091366">
    <w:abstractNumId w:val="8"/>
  </w:num>
  <w:num w:numId="23" w16cid:durableId="1772629528">
    <w:abstractNumId w:val="27"/>
  </w:num>
  <w:num w:numId="24" w16cid:durableId="1219513195">
    <w:abstractNumId w:val="4"/>
  </w:num>
  <w:num w:numId="25" w16cid:durableId="2070960461">
    <w:abstractNumId w:val="24"/>
  </w:num>
  <w:num w:numId="26" w16cid:durableId="643044314">
    <w:abstractNumId w:val="16"/>
  </w:num>
  <w:num w:numId="27" w16cid:durableId="1095978407">
    <w:abstractNumId w:val="28"/>
  </w:num>
  <w:num w:numId="28" w16cid:durableId="870607860">
    <w:abstractNumId w:val="14"/>
  </w:num>
  <w:num w:numId="29" w16cid:durableId="8074343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FD"/>
    <w:rsid w:val="00002622"/>
    <w:rsid w:val="00002B67"/>
    <w:rsid w:val="0001184C"/>
    <w:rsid w:val="00011D1B"/>
    <w:rsid w:val="00012F77"/>
    <w:rsid w:val="000155A6"/>
    <w:rsid w:val="000159D9"/>
    <w:rsid w:val="00017BE1"/>
    <w:rsid w:val="00020A91"/>
    <w:rsid w:val="0002148F"/>
    <w:rsid w:val="00025128"/>
    <w:rsid w:val="00027657"/>
    <w:rsid w:val="00033D87"/>
    <w:rsid w:val="00033E55"/>
    <w:rsid w:val="0003756B"/>
    <w:rsid w:val="00037715"/>
    <w:rsid w:val="000440DA"/>
    <w:rsid w:val="00045749"/>
    <w:rsid w:val="00056BFC"/>
    <w:rsid w:val="0005730D"/>
    <w:rsid w:val="00061981"/>
    <w:rsid w:val="0006296B"/>
    <w:rsid w:val="00063E4B"/>
    <w:rsid w:val="00064851"/>
    <w:rsid w:val="000662DB"/>
    <w:rsid w:val="00071CB5"/>
    <w:rsid w:val="00075E68"/>
    <w:rsid w:val="00076E46"/>
    <w:rsid w:val="00077D16"/>
    <w:rsid w:val="00084DBE"/>
    <w:rsid w:val="0009230F"/>
    <w:rsid w:val="00094CC2"/>
    <w:rsid w:val="00096FCA"/>
    <w:rsid w:val="000A0AF1"/>
    <w:rsid w:val="000A1531"/>
    <w:rsid w:val="000A2741"/>
    <w:rsid w:val="000A2BAE"/>
    <w:rsid w:val="000A2C89"/>
    <w:rsid w:val="000A3265"/>
    <w:rsid w:val="000A4961"/>
    <w:rsid w:val="000A6329"/>
    <w:rsid w:val="000A6653"/>
    <w:rsid w:val="000C03FA"/>
    <w:rsid w:val="000C4C1E"/>
    <w:rsid w:val="000C7370"/>
    <w:rsid w:val="000D07D9"/>
    <w:rsid w:val="000D1252"/>
    <w:rsid w:val="000D272D"/>
    <w:rsid w:val="000D28C5"/>
    <w:rsid w:val="000D2A51"/>
    <w:rsid w:val="000D5890"/>
    <w:rsid w:val="000D64D4"/>
    <w:rsid w:val="000D71D3"/>
    <w:rsid w:val="000E0B23"/>
    <w:rsid w:val="000E17D0"/>
    <w:rsid w:val="000E5962"/>
    <w:rsid w:val="000E6FE0"/>
    <w:rsid w:val="000F3667"/>
    <w:rsid w:val="000F52C4"/>
    <w:rsid w:val="000F5D96"/>
    <w:rsid w:val="00101859"/>
    <w:rsid w:val="0011185A"/>
    <w:rsid w:val="00114E89"/>
    <w:rsid w:val="00115A50"/>
    <w:rsid w:val="00121AC3"/>
    <w:rsid w:val="00123D7A"/>
    <w:rsid w:val="001250CB"/>
    <w:rsid w:val="0012516F"/>
    <w:rsid w:val="0013093D"/>
    <w:rsid w:val="00132E0B"/>
    <w:rsid w:val="00133DD3"/>
    <w:rsid w:val="00134B28"/>
    <w:rsid w:val="00137293"/>
    <w:rsid w:val="00140363"/>
    <w:rsid w:val="00141821"/>
    <w:rsid w:val="00142E5D"/>
    <w:rsid w:val="00144522"/>
    <w:rsid w:val="00146295"/>
    <w:rsid w:val="0014682D"/>
    <w:rsid w:val="00147E41"/>
    <w:rsid w:val="00153C41"/>
    <w:rsid w:val="0015445A"/>
    <w:rsid w:val="00162736"/>
    <w:rsid w:val="001654F2"/>
    <w:rsid w:val="001656A2"/>
    <w:rsid w:val="001673C8"/>
    <w:rsid w:val="0017049A"/>
    <w:rsid w:val="0017570E"/>
    <w:rsid w:val="001763D5"/>
    <w:rsid w:val="00180C01"/>
    <w:rsid w:val="00185317"/>
    <w:rsid w:val="0019171D"/>
    <w:rsid w:val="00191CF9"/>
    <w:rsid w:val="00193A6C"/>
    <w:rsid w:val="00193FB2"/>
    <w:rsid w:val="00194480"/>
    <w:rsid w:val="00195F8D"/>
    <w:rsid w:val="001A10EF"/>
    <w:rsid w:val="001A1D75"/>
    <w:rsid w:val="001A1F5F"/>
    <w:rsid w:val="001A2755"/>
    <w:rsid w:val="001A409B"/>
    <w:rsid w:val="001A56CA"/>
    <w:rsid w:val="001A609B"/>
    <w:rsid w:val="001A787C"/>
    <w:rsid w:val="001B2B8E"/>
    <w:rsid w:val="001B30D0"/>
    <w:rsid w:val="001B5BDD"/>
    <w:rsid w:val="001D1FA9"/>
    <w:rsid w:val="001D5ACB"/>
    <w:rsid w:val="001D730A"/>
    <w:rsid w:val="001D740B"/>
    <w:rsid w:val="001D7432"/>
    <w:rsid w:val="001D75F0"/>
    <w:rsid w:val="001E0639"/>
    <w:rsid w:val="001E3C0F"/>
    <w:rsid w:val="001E44F9"/>
    <w:rsid w:val="001E761A"/>
    <w:rsid w:val="001F1A38"/>
    <w:rsid w:val="001F307F"/>
    <w:rsid w:val="001F37A8"/>
    <w:rsid w:val="001F61D2"/>
    <w:rsid w:val="001F7C6D"/>
    <w:rsid w:val="002012AB"/>
    <w:rsid w:val="00202681"/>
    <w:rsid w:val="00204475"/>
    <w:rsid w:val="00204909"/>
    <w:rsid w:val="00205825"/>
    <w:rsid w:val="00207778"/>
    <w:rsid w:val="00214472"/>
    <w:rsid w:val="00217F18"/>
    <w:rsid w:val="00217FB8"/>
    <w:rsid w:val="00232655"/>
    <w:rsid w:val="00234F44"/>
    <w:rsid w:val="00235F86"/>
    <w:rsid w:val="00236097"/>
    <w:rsid w:val="00236A9F"/>
    <w:rsid w:val="002401CB"/>
    <w:rsid w:val="00242A81"/>
    <w:rsid w:val="00242B5C"/>
    <w:rsid w:val="00243DBA"/>
    <w:rsid w:val="0024472C"/>
    <w:rsid w:val="0024481A"/>
    <w:rsid w:val="0024491B"/>
    <w:rsid w:val="00245A36"/>
    <w:rsid w:val="00245F39"/>
    <w:rsid w:val="002530E1"/>
    <w:rsid w:val="00253AB5"/>
    <w:rsid w:val="00254F35"/>
    <w:rsid w:val="002629E4"/>
    <w:rsid w:val="002654E9"/>
    <w:rsid w:val="00267F39"/>
    <w:rsid w:val="00271397"/>
    <w:rsid w:val="002742FD"/>
    <w:rsid w:val="002814F7"/>
    <w:rsid w:val="00284BC1"/>
    <w:rsid w:val="00286773"/>
    <w:rsid w:val="0029044E"/>
    <w:rsid w:val="0029107A"/>
    <w:rsid w:val="002974B3"/>
    <w:rsid w:val="002A314C"/>
    <w:rsid w:val="002A54C1"/>
    <w:rsid w:val="002A5A46"/>
    <w:rsid w:val="002B0066"/>
    <w:rsid w:val="002B1683"/>
    <w:rsid w:val="002B17E5"/>
    <w:rsid w:val="002B34BB"/>
    <w:rsid w:val="002B4334"/>
    <w:rsid w:val="002B5267"/>
    <w:rsid w:val="002B7883"/>
    <w:rsid w:val="002C0440"/>
    <w:rsid w:val="002C2209"/>
    <w:rsid w:val="002C3082"/>
    <w:rsid w:val="002C7465"/>
    <w:rsid w:val="002D0A8D"/>
    <w:rsid w:val="002D47BF"/>
    <w:rsid w:val="002D52C9"/>
    <w:rsid w:val="002D6410"/>
    <w:rsid w:val="002D79BF"/>
    <w:rsid w:val="002E09ED"/>
    <w:rsid w:val="002E1E6F"/>
    <w:rsid w:val="002E1EBB"/>
    <w:rsid w:val="002E6EE0"/>
    <w:rsid w:val="002E7DF3"/>
    <w:rsid w:val="002F054B"/>
    <w:rsid w:val="002F0FCF"/>
    <w:rsid w:val="002F1EE9"/>
    <w:rsid w:val="002F50B9"/>
    <w:rsid w:val="002F6BA9"/>
    <w:rsid w:val="002F6BD3"/>
    <w:rsid w:val="003009D2"/>
    <w:rsid w:val="003018E9"/>
    <w:rsid w:val="00304B67"/>
    <w:rsid w:val="00310969"/>
    <w:rsid w:val="0031099F"/>
    <w:rsid w:val="00313B6B"/>
    <w:rsid w:val="00314B50"/>
    <w:rsid w:val="00315B16"/>
    <w:rsid w:val="003211AF"/>
    <w:rsid w:val="0032144A"/>
    <w:rsid w:val="00322E4C"/>
    <w:rsid w:val="0032388B"/>
    <w:rsid w:val="00326469"/>
    <w:rsid w:val="003352E2"/>
    <w:rsid w:val="00337F3E"/>
    <w:rsid w:val="00343B88"/>
    <w:rsid w:val="003443BE"/>
    <w:rsid w:val="00347BB2"/>
    <w:rsid w:val="0035180A"/>
    <w:rsid w:val="00352495"/>
    <w:rsid w:val="003615C7"/>
    <w:rsid w:val="00366436"/>
    <w:rsid w:val="00374D70"/>
    <w:rsid w:val="00376617"/>
    <w:rsid w:val="0037663F"/>
    <w:rsid w:val="0038102A"/>
    <w:rsid w:val="00382749"/>
    <w:rsid w:val="00382806"/>
    <w:rsid w:val="00390F6C"/>
    <w:rsid w:val="0039122A"/>
    <w:rsid w:val="0039354E"/>
    <w:rsid w:val="00393656"/>
    <w:rsid w:val="003A42C9"/>
    <w:rsid w:val="003A5AB1"/>
    <w:rsid w:val="003A6424"/>
    <w:rsid w:val="003A6C44"/>
    <w:rsid w:val="003B26CD"/>
    <w:rsid w:val="003B3762"/>
    <w:rsid w:val="003B4C64"/>
    <w:rsid w:val="003B677A"/>
    <w:rsid w:val="003C186E"/>
    <w:rsid w:val="003C6056"/>
    <w:rsid w:val="003C7753"/>
    <w:rsid w:val="003D0E85"/>
    <w:rsid w:val="003D2A6F"/>
    <w:rsid w:val="003D3093"/>
    <w:rsid w:val="003D434C"/>
    <w:rsid w:val="003D4803"/>
    <w:rsid w:val="003D5AF2"/>
    <w:rsid w:val="003D6294"/>
    <w:rsid w:val="003D67FA"/>
    <w:rsid w:val="003E48D4"/>
    <w:rsid w:val="003F0226"/>
    <w:rsid w:val="003F1200"/>
    <w:rsid w:val="003F31B4"/>
    <w:rsid w:val="003F38AD"/>
    <w:rsid w:val="003F5A23"/>
    <w:rsid w:val="003F7E73"/>
    <w:rsid w:val="00402B58"/>
    <w:rsid w:val="00403644"/>
    <w:rsid w:val="00405350"/>
    <w:rsid w:val="00407CA4"/>
    <w:rsid w:val="00410413"/>
    <w:rsid w:val="004104EF"/>
    <w:rsid w:val="00412D29"/>
    <w:rsid w:val="0041387B"/>
    <w:rsid w:val="0041410C"/>
    <w:rsid w:val="00415381"/>
    <w:rsid w:val="00416B94"/>
    <w:rsid w:val="00416EBB"/>
    <w:rsid w:val="00417419"/>
    <w:rsid w:val="00420A6C"/>
    <w:rsid w:val="0042102D"/>
    <w:rsid w:val="00421C4D"/>
    <w:rsid w:val="004222CC"/>
    <w:rsid w:val="004222D5"/>
    <w:rsid w:val="00423718"/>
    <w:rsid w:val="0042476F"/>
    <w:rsid w:val="0042763B"/>
    <w:rsid w:val="004359C2"/>
    <w:rsid w:val="004362BD"/>
    <w:rsid w:val="00440245"/>
    <w:rsid w:val="00441160"/>
    <w:rsid w:val="00441C96"/>
    <w:rsid w:val="00443CBB"/>
    <w:rsid w:val="00444440"/>
    <w:rsid w:val="00444479"/>
    <w:rsid w:val="0044476A"/>
    <w:rsid w:val="00445517"/>
    <w:rsid w:val="004466E9"/>
    <w:rsid w:val="00447F8F"/>
    <w:rsid w:val="00454BB6"/>
    <w:rsid w:val="00457931"/>
    <w:rsid w:val="00457A11"/>
    <w:rsid w:val="00460661"/>
    <w:rsid w:val="00462A68"/>
    <w:rsid w:val="00462C31"/>
    <w:rsid w:val="004666B7"/>
    <w:rsid w:val="004741F9"/>
    <w:rsid w:val="00474D16"/>
    <w:rsid w:val="00477E76"/>
    <w:rsid w:val="00481AC7"/>
    <w:rsid w:val="00483E2F"/>
    <w:rsid w:val="00487CE7"/>
    <w:rsid w:val="00490857"/>
    <w:rsid w:val="004908C6"/>
    <w:rsid w:val="00490EE1"/>
    <w:rsid w:val="00491D62"/>
    <w:rsid w:val="004923E4"/>
    <w:rsid w:val="00494224"/>
    <w:rsid w:val="004951D8"/>
    <w:rsid w:val="00495E31"/>
    <w:rsid w:val="004972D5"/>
    <w:rsid w:val="004A0E19"/>
    <w:rsid w:val="004A27C5"/>
    <w:rsid w:val="004A419C"/>
    <w:rsid w:val="004A566E"/>
    <w:rsid w:val="004B0D33"/>
    <w:rsid w:val="004B1340"/>
    <w:rsid w:val="004B153A"/>
    <w:rsid w:val="004B1F13"/>
    <w:rsid w:val="004B519E"/>
    <w:rsid w:val="004B6200"/>
    <w:rsid w:val="004B72B4"/>
    <w:rsid w:val="004B79EA"/>
    <w:rsid w:val="004C0C7E"/>
    <w:rsid w:val="004C0F5F"/>
    <w:rsid w:val="004C157D"/>
    <w:rsid w:val="004C174F"/>
    <w:rsid w:val="004C33E7"/>
    <w:rsid w:val="004C705C"/>
    <w:rsid w:val="004E528E"/>
    <w:rsid w:val="004E65BA"/>
    <w:rsid w:val="004E7A68"/>
    <w:rsid w:val="004F5F58"/>
    <w:rsid w:val="004F6AA5"/>
    <w:rsid w:val="005023B6"/>
    <w:rsid w:val="00505CAA"/>
    <w:rsid w:val="00510B03"/>
    <w:rsid w:val="005145DD"/>
    <w:rsid w:val="0052034E"/>
    <w:rsid w:val="005204FB"/>
    <w:rsid w:val="00524CB6"/>
    <w:rsid w:val="005311B7"/>
    <w:rsid w:val="005331D7"/>
    <w:rsid w:val="00534520"/>
    <w:rsid w:val="00535CB4"/>
    <w:rsid w:val="00535F1F"/>
    <w:rsid w:val="00542EF6"/>
    <w:rsid w:val="005461F7"/>
    <w:rsid w:val="00556790"/>
    <w:rsid w:val="00562140"/>
    <w:rsid w:val="005629F9"/>
    <w:rsid w:val="0056473E"/>
    <w:rsid w:val="005672B3"/>
    <w:rsid w:val="00570A49"/>
    <w:rsid w:val="00573297"/>
    <w:rsid w:val="00574350"/>
    <w:rsid w:val="0057437B"/>
    <w:rsid w:val="00574806"/>
    <w:rsid w:val="00574EB7"/>
    <w:rsid w:val="00575FE5"/>
    <w:rsid w:val="00576DCC"/>
    <w:rsid w:val="00583294"/>
    <w:rsid w:val="00584AF4"/>
    <w:rsid w:val="00584D4C"/>
    <w:rsid w:val="00584F78"/>
    <w:rsid w:val="00587B6B"/>
    <w:rsid w:val="00591752"/>
    <w:rsid w:val="00595B27"/>
    <w:rsid w:val="00597470"/>
    <w:rsid w:val="005A1C16"/>
    <w:rsid w:val="005A2BC2"/>
    <w:rsid w:val="005A3B23"/>
    <w:rsid w:val="005A7389"/>
    <w:rsid w:val="005B367B"/>
    <w:rsid w:val="005B666B"/>
    <w:rsid w:val="005C1139"/>
    <w:rsid w:val="005C22D7"/>
    <w:rsid w:val="005C3C7C"/>
    <w:rsid w:val="005C4337"/>
    <w:rsid w:val="005C4482"/>
    <w:rsid w:val="005C5FF7"/>
    <w:rsid w:val="005C6953"/>
    <w:rsid w:val="005C6A79"/>
    <w:rsid w:val="005D201C"/>
    <w:rsid w:val="005D4600"/>
    <w:rsid w:val="005D4636"/>
    <w:rsid w:val="005D6A94"/>
    <w:rsid w:val="005D75EC"/>
    <w:rsid w:val="005E1E1E"/>
    <w:rsid w:val="005E2326"/>
    <w:rsid w:val="005E2EBE"/>
    <w:rsid w:val="005E397C"/>
    <w:rsid w:val="005E3B54"/>
    <w:rsid w:val="005E53F7"/>
    <w:rsid w:val="005E5A58"/>
    <w:rsid w:val="005F024C"/>
    <w:rsid w:val="005F1963"/>
    <w:rsid w:val="005F3B2F"/>
    <w:rsid w:val="005F5DFE"/>
    <w:rsid w:val="00602AF6"/>
    <w:rsid w:val="00604432"/>
    <w:rsid w:val="00604EB2"/>
    <w:rsid w:val="006129F5"/>
    <w:rsid w:val="006143C4"/>
    <w:rsid w:val="0061778B"/>
    <w:rsid w:val="00621C54"/>
    <w:rsid w:val="00624190"/>
    <w:rsid w:val="00625561"/>
    <w:rsid w:val="006325B0"/>
    <w:rsid w:val="00632D2D"/>
    <w:rsid w:val="006332CE"/>
    <w:rsid w:val="00636B69"/>
    <w:rsid w:val="006378B4"/>
    <w:rsid w:val="00646741"/>
    <w:rsid w:val="006509A2"/>
    <w:rsid w:val="006532C8"/>
    <w:rsid w:val="00654100"/>
    <w:rsid w:val="00660250"/>
    <w:rsid w:val="00661B0C"/>
    <w:rsid w:val="00664B61"/>
    <w:rsid w:val="006711AA"/>
    <w:rsid w:val="00671A02"/>
    <w:rsid w:val="006745DB"/>
    <w:rsid w:val="006775FA"/>
    <w:rsid w:val="0069022A"/>
    <w:rsid w:val="00691890"/>
    <w:rsid w:val="0069333E"/>
    <w:rsid w:val="00694D90"/>
    <w:rsid w:val="006A04AB"/>
    <w:rsid w:val="006B2DAA"/>
    <w:rsid w:val="006B6FF5"/>
    <w:rsid w:val="006B710A"/>
    <w:rsid w:val="006B79BB"/>
    <w:rsid w:val="006C2289"/>
    <w:rsid w:val="006C424A"/>
    <w:rsid w:val="006C4A43"/>
    <w:rsid w:val="006C55A5"/>
    <w:rsid w:val="006D11E8"/>
    <w:rsid w:val="006D2051"/>
    <w:rsid w:val="006D4271"/>
    <w:rsid w:val="006D5D7F"/>
    <w:rsid w:val="006D6288"/>
    <w:rsid w:val="006D74F1"/>
    <w:rsid w:val="006E0209"/>
    <w:rsid w:val="006E705D"/>
    <w:rsid w:val="006E7FB4"/>
    <w:rsid w:val="006F040B"/>
    <w:rsid w:val="006F49EB"/>
    <w:rsid w:val="006F733C"/>
    <w:rsid w:val="007008DC"/>
    <w:rsid w:val="00701B44"/>
    <w:rsid w:val="00704ED8"/>
    <w:rsid w:val="007052B6"/>
    <w:rsid w:val="00710667"/>
    <w:rsid w:val="0071177F"/>
    <w:rsid w:val="00720B53"/>
    <w:rsid w:val="00721EBC"/>
    <w:rsid w:val="00722537"/>
    <w:rsid w:val="00726198"/>
    <w:rsid w:val="0072687F"/>
    <w:rsid w:val="00727223"/>
    <w:rsid w:val="00733CD3"/>
    <w:rsid w:val="007364E7"/>
    <w:rsid w:val="0073707E"/>
    <w:rsid w:val="007420B6"/>
    <w:rsid w:val="0074288D"/>
    <w:rsid w:val="00743F8F"/>
    <w:rsid w:val="00755345"/>
    <w:rsid w:val="00756189"/>
    <w:rsid w:val="00761A4B"/>
    <w:rsid w:val="0076309A"/>
    <w:rsid w:val="0076321D"/>
    <w:rsid w:val="007708AC"/>
    <w:rsid w:val="0078158A"/>
    <w:rsid w:val="00783348"/>
    <w:rsid w:val="00784AB4"/>
    <w:rsid w:val="00790861"/>
    <w:rsid w:val="00797EF6"/>
    <w:rsid w:val="007A0EE5"/>
    <w:rsid w:val="007A1A42"/>
    <w:rsid w:val="007A2BC7"/>
    <w:rsid w:val="007A629E"/>
    <w:rsid w:val="007A7EE8"/>
    <w:rsid w:val="007B280F"/>
    <w:rsid w:val="007B3861"/>
    <w:rsid w:val="007B455E"/>
    <w:rsid w:val="007B5292"/>
    <w:rsid w:val="007B7777"/>
    <w:rsid w:val="007C63F9"/>
    <w:rsid w:val="007D5310"/>
    <w:rsid w:val="007E0C8C"/>
    <w:rsid w:val="007E630C"/>
    <w:rsid w:val="007F1CEA"/>
    <w:rsid w:val="007F62CE"/>
    <w:rsid w:val="008026FC"/>
    <w:rsid w:val="008062C3"/>
    <w:rsid w:val="008062EA"/>
    <w:rsid w:val="00807BB3"/>
    <w:rsid w:val="00807EBF"/>
    <w:rsid w:val="008103A2"/>
    <w:rsid w:val="00812CAC"/>
    <w:rsid w:val="00816DA6"/>
    <w:rsid w:val="0081729B"/>
    <w:rsid w:val="00822DF3"/>
    <w:rsid w:val="00824500"/>
    <w:rsid w:val="00830778"/>
    <w:rsid w:val="00832844"/>
    <w:rsid w:val="00834EF8"/>
    <w:rsid w:val="008360D5"/>
    <w:rsid w:val="00836A8D"/>
    <w:rsid w:val="0084363C"/>
    <w:rsid w:val="00863FD3"/>
    <w:rsid w:val="00872066"/>
    <w:rsid w:val="00890FB7"/>
    <w:rsid w:val="008A027D"/>
    <w:rsid w:val="008A0F94"/>
    <w:rsid w:val="008A1D1F"/>
    <w:rsid w:val="008A3B2E"/>
    <w:rsid w:val="008A4458"/>
    <w:rsid w:val="008B018B"/>
    <w:rsid w:val="008B3C84"/>
    <w:rsid w:val="008B5F82"/>
    <w:rsid w:val="008B6715"/>
    <w:rsid w:val="008C39A7"/>
    <w:rsid w:val="008C6974"/>
    <w:rsid w:val="008D3AC0"/>
    <w:rsid w:val="008D409A"/>
    <w:rsid w:val="008D4B81"/>
    <w:rsid w:val="008D7753"/>
    <w:rsid w:val="008E73CC"/>
    <w:rsid w:val="008E7E18"/>
    <w:rsid w:val="008F4301"/>
    <w:rsid w:val="008F462D"/>
    <w:rsid w:val="008F4DB5"/>
    <w:rsid w:val="008F50FC"/>
    <w:rsid w:val="008F547C"/>
    <w:rsid w:val="0090291E"/>
    <w:rsid w:val="00903D43"/>
    <w:rsid w:val="00905378"/>
    <w:rsid w:val="00906C4C"/>
    <w:rsid w:val="00907489"/>
    <w:rsid w:val="009125AF"/>
    <w:rsid w:val="00914E3C"/>
    <w:rsid w:val="009154A9"/>
    <w:rsid w:val="009212C4"/>
    <w:rsid w:val="00921EAE"/>
    <w:rsid w:val="009237A0"/>
    <w:rsid w:val="00923E3E"/>
    <w:rsid w:val="00924AD3"/>
    <w:rsid w:val="00925ED9"/>
    <w:rsid w:val="00933FDE"/>
    <w:rsid w:val="009356A6"/>
    <w:rsid w:val="009356EA"/>
    <w:rsid w:val="00940C92"/>
    <w:rsid w:val="009411C6"/>
    <w:rsid w:val="0094240F"/>
    <w:rsid w:val="00943924"/>
    <w:rsid w:val="00944022"/>
    <w:rsid w:val="009465A6"/>
    <w:rsid w:val="00946ACB"/>
    <w:rsid w:val="00946C55"/>
    <w:rsid w:val="009508D4"/>
    <w:rsid w:val="00952844"/>
    <w:rsid w:val="00953364"/>
    <w:rsid w:val="00954681"/>
    <w:rsid w:val="00961C9B"/>
    <w:rsid w:val="00962AA7"/>
    <w:rsid w:val="00965337"/>
    <w:rsid w:val="009663AB"/>
    <w:rsid w:val="00970828"/>
    <w:rsid w:val="00975EB8"/>
    <w:rsid w:val="0097623F"/>
    <w:rsid w:val="009805BE"/>
    <w:rsid w:val="00984AB3"/>
    <w:rsid w:val="009869A1"/>
    <w:rsid w:val="00993542"/>
    <w:rsid w:val="00994A08"/>
    <w:rsid w:val="009A09B9"/>
    <w:rsid w:val="009A3E8C"/>
    <w:rsid w:val="009A5258"/>
    <w:rsid w:val="009A6556"/>
    <w:rsid w:val="009B0EBC"/>
    <w:rsid w:val="009B511A"/>
    <w:rsid w:val="009C2F54"/>
    <w:rsid w:val="009C2F6E"/>
    <w:rsid w:val="009C6D1D"/>
    <w:rsid w:val="009C6E59"/>
    <w:rsid w:val="009D0A35"/>
    <w:rsid w:val="009D0CF1"/>
    <w:rsid w:val="009D1D5B"/>
    <w:rsid w:val="009D48C2"/>
    <w:rsid w:val="009D4A24"/>
    <w:rsid w:val="009D7FAD"/>
    <w:rsid w:val="009E0966"/>
    <w:rsid w:val="009E1B06"/>
    <w:rsid w:val="009E3FA6"/>
    <w:rsid w:val="009E7B62"/>
    <w:rsid w:val="009F03ED"/>
    <w:rsid w:val="009F4937"/>
    <w:rsid w:val="009F4AB6"/>
    <w:rsid w:val="009F54D3"/>
    <w:rsid w:val="009F5CB3"/>
    <w:rsid w:val="009F5E0E"/>
    <w:rsid w:val="00A00436"/>
    <w:rsid w:val="00A0053F"/>
    <w:rsid w:val="00A00662"/>
    <w:rsid w:val="00A06429"/>
    <w:rsid w:val="00A066E1"/>
    <w:rsid w:val="00A07EE4"/>
    <w:rsid w:val="00A138A4"/>
    <w:rsid w:val="00A16AA4"/>
    <w:rsid w:val="00A16F22"/>
    <w:rsid w:val="00A22BE9"/>
    <w:rsid w:val="00A24021"/>
    <w:rsid w:val="00A30490"/>
    <w:rsid w:val="00A35EE9"/>
    <w:rsid w:val="00A403A9"/>
    <w:rsid w:val="00A409F9"/>
    <w:rsid w:val="00A54A5D"/>
    <w:rsid w:val="00A56F7E"/>
    <w:rsid w:val="00A6131B"/>
    <w:rsid w:val="00A61AB9"/>
    <w:rsid w:val="00A70ADC"/>
    <w:rsid w:val="00A72915"/>
    <w:rsid w:val="00A81B9D"/>
    <w:rsid w:val="00A81C51"/>
    <w:rsid w:val="00A927E8"/>
    <w:rsid w:val="00A9422D"/>
    <w:rsid w:val="00A94942"/>
    <w:rsid w:val="00A950F0"/>
    <w:rsid w:val="00A96B36"/>
    <w:rsid w:val="00AB0BAB"/>
    <w:rsid w:val="00AB1868"/>
    <w:rsid w:val="00AB4AB3"/>
    <w:rsid w:val="00AB5AC3"/>
    <w:rsid w:val="00AB754D"/>
    <w:rsid w:val="00AB7ACC"/>
    <w:rsid w:val="00AC0FB6"/>
    <w:rsid w:val="00AC52D2"/>
    <w:rsid w:val="00AC733E"/>
    <w:rsid w:val="00AD2AE1"/>
    <w:rsid w:val="00AD3C4E"/>
    <w:rsid w:val="00AD52B8"/>
    <w:rsid w:val="00AD5F99"/>
    <w:rsid w:val="00AE0190"/>
    <w:rsid w:val="00AE1FD4"/>
    <w:rsid w:val="00AE4B99"/>
    <w:rsid w:val="00AE547D"/>
    <w:rsid w:val="00AE707D"/>
    <w:rsid w:val="00AE76C0"/>
    <w:rsid w:val="00AF1239"/>
    <w:rsid w:val="00AF139D"/>
    <w:rsid w:val="00AF36C3"/>
    <w:rsid w:val="00AF3715"/>
    <w:rsid w:val="00AF3718"/>
    <w:rsid w:val="00B0008C"/>
    <w:rsid w:val="00B03923"/>
    <w:rsid w:val="00B03A94"/>
    <w:rsid w:val="00B06239"/>
    <w:rsid w:val="00B10F41"/>
    <w:rsid w:val="00B12614"/>
    <w:rsid w:val="00B126DC"/>
    <w:rsid w:val="00B14E0C"/>
    <w:rsid w:val="00B15894"/>
    <w:rsid w:val="00B16972"/>
    <w:rsid w:val="00B17C69"/>
    <w:rsid w:val="00B17DFC"/>
    <w:rsid w:val="00B17E73"/>
    <w:rsid w:val="00B20479"/>
    <w:rsid w:val="00B24B5C"/>
    <w:rsid w:val="00B24BBE"/>
    <w:rsid w:val="00B27CF2"/>
    <w:rsid w:val="00B27D9E"/>
    <w:rsid w:val="00B32B25"/>
    <w:rsid w:val="00B32DFA"/>
    <w:rsid w:val="00B355ED"/>
    <w:rsid w:val="00B35920"/>
    <w:rsid w:val="00B36DFF"/>
    <w:rsid w:val="00B41136"/>
    <w:rsid w:val="00B4151B"/>
    <w:rsid w:val="00B42C5C"/>
    <w:rsid w:val="00B45144"/>
    <w:rsid w:val="00B50C2A"/>
    <w:rsid w:val="00B54E0E"/>
    <w:rsid w:val="00B60E03"/>
    <w:rsid w:val="00B64510"/>
    <w:rsid w:val="00B668FA"/>
    <w:rsid w:val="00B70313"/>
    <w:rsid w:val="00B70707"/>
    <w:rsid w:val="00B71E64"/>
    <w:rsid w:val="00B74390"/>
    <w:rsid w:val="00B7793A"/>
    <w:rsid w:val="00B953C7"/>
    <w:rsid w:val="00B959FC"/>
    <w:rsid w:val="00B96FD1"/>
    <w:rsid w:val="00B97599"/>
    <w:rsid w:val="00BA073A"/>
    <w:rsid w:val="00BA4464"/>
    <w:rsid w:val="00BA47B3"/>
    <w:rsid w:val="00BB0065"/>
    <w:rsid w:val="00BB03E9"/>
    <w:rsid w:val="00BB2FC2"/>
    <w:rsid w:val="00BB4227"/>
    <w:rsid w:val="00BB47B8"/>
    <w:rsid w:val="00BD04CF"/>
    <w:rsid w:val="00BD1EA1"/>
    <w:rsid w:val="00BD2B0D"/>
    <w:rsid w:val="00BD43DE"/>
    <w:rsid w:val="00BD4EF0"/>
    <w:rsid w:val="00BE4251"/>
    <w:rsid w:val="00BE6094"/>
    <w:rsid w:val="00BF0E8F"/>
    <w:rsid w:val="00BF3066"/>
    <w:rsid w:val="00BF4D18"/>
    <w:rsid w:val="00C025D7"/>
    <w:rsid w:val="00C032AA"/>
    <w:rsid w:val="00C07A3C"/>
    <w:rsid w:val="00C13391"/>
    <w:rsid w:val="00C14AE7"/>
    <w:rsid w:val="00C16F7A"/>
    <w:rsid w:val="00C277C5"/>
    <w:rsid w:val="00C27E76"/>
    <w:rsid w:val="00C3006C"/>
    <w:rsid w:val="00C3190A"/>
    <w:rsid w:val="00C32338"/>
    <w:rsid w:val="00C3483A"/>
    <w:rsid w:val="00C35D72"/>
    <w:rsid w:val="00C4246F"/>
    <w:rsid w:val="00C436B5"/>
    <w:rsid w:val="00C449E6"/>
    <w:rsid w:val="00C45F5B"/>
    <w:rsid w:val="00C46352"/>
    <w:rsid w:val="00C46873"/>
    <w:rsid w:val="00C47590"/>
    <w:rsid w:val="00C479D0"/>
    <w:rsid w:val="00C50D75"/>
    <w:rsid w:val="00C5149C"/>
    <w:rsid w:val="00C5165D"/>
    <w:rsid w:val="00C51D4B"/>
    <w:rsid w:val="00C55741"/>
    <w:rsid w:val="00C6214A"/>
    <w:rsid w:val="00C63F7B"/>
    <w:rsid w:val="00C7016E"/>
    <w:rsid w:val="00C715BC"/>
    <w:rsid w:val="00C7378B"/>
    <w:rsid w:val="00C73A29"/>
    <w:rsid w:val="00C74C99"/>
    <w:rsid w:val="00C75F88"/>
    <w:rsid w:val="00C76DF5"/>
    <w:rsid w:val="00C77FB3"/>
    <w:rsid w:val="00C81CEA"/>
    <w:rsid w:val="00C85302"/>
    <w:rsid w:val="00C906DE"/>
    <w:rsid w:val="00C97561"/>
    <w:rsid w:val="00C978EB"/>
    <w:rsid w:val="00CA0699"/>
    <w:rsid w:val="00CA1A60"/>
    <w:rsid w:val="00CA3150"/>
    <w:rsid w:val="00CA38D1"/>
    <w:rsid w:val="00CA63C9"/>
    <w:rsid w:val="00CB0926"/>
    <w:rsid w:val="00CB3C73"/>
    <w:rsid w:val="00CB411C"/>
    <w:rsid w:val="00CB4D84"/>
    <w:rsid w:val="00CB5497"/>
    <w:rsid w:val="00CB6EBC"/>
    <w:rsid w:val="00CC1689"/>
    <w:rsid w:val="00CC3552"/>
    <w:rsid w:val="00CC4E5F"/>
    <w:rsid w:val="00CC51A4"/>
    <w:rsid w:val="00CC6572"/>
    <w:rsid w:val="00CD22A0"/>
    <w:rsid w:val="00CD4A51"/>
    <w:rsid w:val="00CD4AA6"/>
    <w:rsid w:val="00CD4C56"/>
    <w:rsid w:val="00CD5C2C"/>
    <w:rsid w:val="00CD7DD8"/>
    <w:rsid w:val="00CE10C6"/>
    <w:rsid w:val="00CE12CC"/>
    <w:rsid w:val="00CE15D4"/>
    <w:rsid w:val="00CE1825"/>
    <w:rsid w:val="00CE1C12"/>
    <w:rsid w:val="00CE2772"/>
    <w:rsid w:val="00CE70F1"/>
    <w:rsid w:val="00CF13FC"/>
    <w:rsid w:val="00CF1CFC"/>
    <w:rsid w:val="00CF4002"/>
    <w:rsid w:val="00CF574D"/>
    <w:rsid w:val="00CF6102"/>
    <w:rsid w:val="00D039A9"/>
    <w:rsid w:val="00D07158"/>
    <w:rsid w:val="00D0724A"/>
    <w:rsid w:val="00D075B4"/>
    <w:rsid w:val="00D0774F"/>
    <w:rsid w:val="00D22297"/>
    <w:rsid w:val="00D329BF"/>
    <w:rsid w:val="00D33AC6"/>
    <w:rsid w:val="00D36D34"/>
    <w:rsid w:val="00D4062A"/>
    <w:rsid w:val="00D418BF"/>
    <w:rsid w:val="00D45DC3"/>
    <w:rsid w:val="00D50804"/>
    <w:rsid w:val="00D537D8"/>
    <w:rsid w:val="00D53B92"/>
    <w:rsid w:val="00D54468"/>
    <w:rsid w:val="00D61F1E"/>
    <w:rsid w:val="00D63F14"/>
    <w:rsid w:val="00D64A91"/>
    <w:rsid w:val="00D66107"/>
    <w:rsid w:val="00D6686A"/>
    <w:rsid w:val="00D728DD"/>
    <w:rsid w:val="00D75C41"/>
    <w:rsid w:val="00D80DAB"/>
    <w:rsid w:val="00D818CB"/>
    <w:rsid w:val="00D83132"/>
    <w:rsid w:val="00D8420A"/>
    <w:rsid w:val="00D84CD3"/>
    <w:rsid w:val="00D901FA"/>
    <w:rsid w:val="00D913E2"/>
    <w:rsid w:val="00D92232"/>
    <w:rsid w:val="00D931F1"/>
    <w:rsid w:val="00D93216"/>
    <w:rsid w:val="00D933D1"/>
    <w:rsid w:val="00D94744"/>
    <w:rsid w:val="00D9752D"/>
    <w:rsid w:val="00DA3F32"/>
    <w:rsid w:val="00DA6C0F"/>
    <w:rsid w:val="00DB5491"/>
    <w:rsid w:val="00DB77AE"/>
    <w:rsid w:val="00DC0D66"/>
    <w:rsid w:val="00DC550F"/>
    <w:rsid w:val="00DC5B6E"/>
    <w:rsid w:val="00DD1A5C"/>
    <w:rsid w:val="00DE10B2"/>
    <w:rsid w:val="00DE2F56"/>
    <w:rsid w:val="00DE3163"/>
    <w:rsid w:val="00DE474E"/>
    <w:rsid w:val="00DE605D"/>
    <w:rsid w:val="00DF0264"/>
    <w:rsid w:val="00DF054F"/>
    <w:rsid w:val="00DF05B2"/>
    <w:rsid w:val="00DF11B2"/>
    <w:rsid w:val="00DF14DB"/>
    <w:rsid w:val="00DF292E"/>
    <w:rsid w:val="00DF5078"/>
    <w:rsid w:val="00DF5E36"/>
    <w:rsid w:val="00E05AC8"/>
    <w:rsid w:val="00E06B35"/>
    <w:rsid w:val="00E17ACC"/>
    <w:rsid w:val="00E206E3"/>
    <w:rsid w:val="00E214D0"/>
    <w:rsid w:val="00E21BFB"/>
    <w:rsid w:val="00E22D2B"/>
    <w:rsid w:val="00E2347B"/>
    <w:rsid w:val="00E24400"/>
    <w:rsid w:val="00E305EA"/>
    <w:rsid w:val="00E30A31"/>
    <w:rsid w:val="00E34B37"/>
    <w:rsid w:val="00E34C52"/>
    <w:rsid w:val="00E361C4"/>
    <w:rsid w:val="00E37A0F"/>
    <w:rsid w:val="00E47653"/>
    <w:rsid w:val="00E51A27"/>
    <w:rsid w:val="00E57520"/>
    <w:rsid w:val="00E6072C"/>
    <w:rsid w:val="00E61E84"/>
    <w:rsid w:val="00E627D5"/>
    <w:rsid w:val="00E62E37"/>
    <w:rsid w:val="00E63514"/>
    <w:rsid w:val="00E63645"/>
    <w:rsid w:val="00E637CE"/>
    <w:rsid w:val="00E63AAF"/>
    <w:rsid w:val="00E66133"/>
    <w:rsid w:val="00E66306"/>
    <w:rsid w:val="00E72470"/>
    <w:rsid w:val="00E72498"/>
    <w:rsid w:val="00E75182"/>
    <w:rsid w:val="00E7592A"/>
    <w:rsid w:val="00E8058F"/>
    <w:rsid w:val="00E839EF"/>
    <w:rsid w:val="00E87160"/>
    <w:rsid w:val="00E90B22"/>
    <w:rsid w:val="00E93CCE"/>
    <w:rsid w:val="00E95869"/>
    <w:rsid w:val="00E97F24"/>
    <w:rsid w:val="00EA095D"/>
    <w:rsid w:val="00EA348F"/>
    <w:rsid w:val="00EB0AF3"/>
    <w:rsid w:val="00EB31C1"/>
    <w:rsid w:val="00EB72E0"/>
    <w:rsid w:val="00EC03C2"/>
    <w:rsid w:val="00EC1A7A"/>
    <w:rsid w:val="00EC1C46"/>
    <w:rsid w:val="00EC2F88"/>
    <w:rsid w:val="00EC3A02"/>
    <w:rsid w:val="00EC3DFC"/>
    <w:rsid w:val="00EC3E27"/>
    <w:rsid w:val="00EC4429"/>
    <w:rsid w:val="00EC60A2"/>
    <w:rsid w:val="00EC7CDD"/>
    <w:rsid w:val="00ED17A0"/>
    <w:rsid w:val="00ED3008"/>
    <w:rsid w:val="00ED33AE"/>
    <w:rsid w:val="00ED4D8F"/>
    <w:rsid w:val="00ED5B1E"/>
    <w:rsid w:val="00ED6DC1"/>
    <w:rsid w:val="00EE5F58"/>
    <w:rsid w:val="00EF1DC9"/>
    <w:rsid w:val="00EF2240"/>
    <w:rsid w:val="00EF2858"/>
    <w:rsid w:val="00EF49F2"/>
    <w:rsid w:val="00EF62F9"/>
    <w:rsid w:val="00EF6C76"/>
    <w:rsid w:val="00F04064"/>
    <w:rsid w:val="00F045AE"/>
    <w:rsid w:val="00F04749"/>
    <w:rsid w:val="00F05792"/>
    <w:rsid w:val="00F06C4F"/>
    <w:rsid w:val="00F1741D"/>
    <w:rsid w:val="00F21F53"/>
    <w:rsid w:val="00F24CE3"/>
    <w:rsid w:val="00F32260"/>
    <w:rsid w:val="00F33C9E"/>
    <w:rsid w:val="00F34A67"/>
    <w:rsid w:val="00F34A79"/>
    <w:rsid w:val="00F403D0"/>
    <w:rsid w:val="00F40FBB"/>
    <w:rsid w:val="00F4155D"/>
    <w:rsid w:val="00F42A2D"/>
    <w:rsid w:val="00F44C9A"/>
    <w:rsid w:val="00F462B2"/>
    <w:rsid w:val="00F46D61"/>
    <w:rsid w:val="00F5305D"/>
    <w:rsid w:val="00F55463"/>
    <w:rsid w:val="00F564ED"/>
    <w:rsid w:val="00F5757D"/>
    <w:rsid w:val="00F61AC0"/>
    <w:rsid w:val="00F61F79"/>
    <w:rsid w:val="00F667CA"/>
    <w:rsid w:val="00F6681B"/>
    <w:rsid w:val="00F712BF"/>
    <w:rsid w:val="00F71AA8"/>
    <w:rsid w:val="00F71D83"/>
    <w:rsid w:val="00F765DB"/>
    <w:rsid w:val="00F80260"/>
    <w:rsid w:val="00F80FAB"/>
    <w:rsid w:val="00F8165E"/>
    <w:rsid w:val="00F85C2A"/>
    <w:rsid w:val="00F90B8B"/>
    <w:rsid w:val="00F9124E"/>
    <w:rsid w:val="00F932C5"/>
    <w:rsid w:val="00F94704"/>
    <w:rsid w:val="00F95478"/>
    <w:rsid w:val="00F97F49"/>
    <w:rsid w:val="00FA03A9"/>
    <w:rsid w:val="00FA09DB"/>
    <w:rsid w:val="00FA3A09"/>
    <w:rsid w:val="00FA4FD7"/>
    <w:rsid w:val="00FA522F"/>
    <w:rsid w:val="00FB04C8"/>
    <w:rsid w:val="00FB0FDD"/>
    <w:rsid w:val="00FB1D51"/>
    <w:rsid w:val="00FB3ADC"/>
    <w:rsid w:val="00FB4B71"/>
    <w:rsid w:val="00FC06B3"/>
    <w:rsid w:val="00FC39A6"/>
    <w:rsid w:val="00FC4114"/>
    <w:rsid w:val="00FD371C"/>
    <w:rsid w:val="00FD3A54"/>
    <w:rsid w:val="00FE16DA"/>
    <w:rsid w:val="00FE2B7A"/>
    <w:rsid w:val="00FE53D6"/>
    <w:rsid w:val="00FE6644"/>
    <w:rsid w:val="00FF3062"/>
    <w:rsid w:val="00FF7285"/>
    <w:rsid w:val="57BB2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4E16E"/>
  <w15:chartTrackingRefBased/>
  <w15:docId w15:val="{BBAB3F10-F344-40DF-83E2-980F6ADD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45"/>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3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uiPriority w:val="10"/>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uiPriority w:val="10"/>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418BF"/>
    <w:pPr>
      <w:tabs>
        <w:tab w:val="right" w:leader="dot" w:pos="10264"/>
      </w:tabs>
      <w:spacing w:before="120" w:after="0"/>
      <w:ind w:left="220"/>
    </w:pPr>
    <w:rPr>
      <w:rFonts w:cstheme="minorHAnsi"/>
      <w:noProof/>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semiHidden/>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character" w:styleId="CommentReference">
    <w:name w:val="annotation reference"/>
    <w:basedOn w:val="DefaultParagraphFont"/>
    <w:uiPriority w:val="99"/>
    <w:semiHidden/>
    <w:unhideWhenUsed/>
    <w:rsid w:val="00BD2B0D"/>
    <w:rPr>
      <w:sz w:val="16"/>
      <w:szCs w:val="16"/>
    </w:rPr>
  </w:style>
  <w:style w:type="paragraph" w:styleId="CommentText">
    <w:name w:val="annotation text"/>
    <w:basedOn w:val="Normal"/>
    <w:link w:val="CommentTextChar"/>
    <w:uiPriority w:val="99"/>
    <w:semiHidden/>
    <w:unhideWhenUsed/>
    <w:rsid w:val="00BD2B0D"/>
    <w:pPr>
      <w:spacing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D2B0D"/>
    <w:rPr>
      <w:sz w:val="20"/>
      <w:szCs w:val="20"/>
    </w:rPr>
  </w:style>
  <w:style w:type="character" w:styleId="Mention">
    <w:name w:val="Mention"/>
    <w:basedOn w:val="DefaultParagraphFont"/>
    <w:uiPriority w:val="99"/>
    <w:unhideWhenUsed/>
    <w:rsid w:val="00BD2B0D"/>
    <w:rPr>
      <w:color w:val="2B579A"/>
      <w:shd w:val="clear" w:color="auto" w:fill="E1DFDD"/>
    </w:rPr>
  </w:style>
  <w:style w:type="character" w:customStyle="1" w:styleId="block-inner">
    <w:name w:val="block-inner"/>
    <w:basedOn w:val="DefaultParagraphFont"/>
    <w:rsid w:val="00B74390"/>
  </w:style>
  <w:style w:type="paragraph" w:styleId="CommentSubject">
    <w:name w:val="annotation subject"/>
    <w:basedOn w:val="CommentText"/>
    <w:next w:val="CommentText"/>
    <w:link w:val="CommentSubjectChar"/>
    <w:uiPriority w:val="99"/>
    <w:semiHidden/>
    <w:unhideWhenUsed/>
    <w:rsid w:val="004666B7"/>
    <w:rPr>
      <w:rFonts w:ascii="Arial" w:hAnsi="Arial" w:cs="Arial"/>
      <w:b/>
      <w:bCs/>
      <w:color w:val="00363A"/>
    </w:rPr>
  </w:style>
  <w:style w:type="character" w:customStyle="1" w:styleId="CommentSubjectChar">
    <w:name w:val="Comment Subject Char"/>
    <w:basedOn w:val="CommentTextChar"/>
    <w:link w:val="CommentSubject"/>
    <w:uiPriority w:val="99"/>
    <w:semiHidden/>
    <w:rsid w:val="004666B7"/>
    <w:rPr>
      <w:rFonts w:ascii="Arial" w:hAnsi="Arial" w:cs="Arial"/>
      <w:b/>
      <w:bCs/>
      <w:color w:val="00363A"/>
      <w:sz w:val="20"/>
      <w:szCs w:val="20"/>
    </w:rPr>
  </w:style>
  <w:style w:type="character" w:styleId="FollowedHyperlink">
    <w:name w:val="FollowedHyperlink"/>
    <w:basedOn w:val="DefaultParagraphFont"/>
    <w:uiPriority w:val="99"/>
    <w:semiHidden/>
    <w:unhideWhenUsed/>
    <w:rsid w:val="003D0E85"/>
    <w:rPr>
      <w:color w:val="43BE8C" w:themeColor="followedHyperlink"/>
      <w:u w:val="single"/>
    </w:rPr>
  </w:style>
  <w:style w:type="paragraph" w:styleId="Revision">
    <w:name w:val="Revision"/>
    <w:hidden/>
    <w:uiPriority w:val="99"/>
    <w:semiHidden/>
    <w:rsid w:val="00A950F0"/>
    <w:pPr>
      <w:spacing w:after="0" w:line="240" w:lineRule="auto"/>
    </w:pPr>
    <w:rPr>
      <w:rFonts w:ascii="Arial" w:hAnsi="Arial" w:cs="Arial"/>
      <w:color w:val="0036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831338019">
      <w:bodyDiv w:val="1"/>
      <w:marLeft w:val="0"/>
      <w:marRight w:val="0"/>
      <w:marTop w:val="0"/>
      <w:marBottom w:val="0"/>
      <w:divBdr>
        <w:top w:val="none" w:sz="0" w:space="0" w:color="auto"/>
        <w:left w:val="none" w:sz="0" w:space="0" w:color="auto"/>
        <w:bottom w:val="none" w:sz="0" w:space="0" w:color="auto"/>
        <w:right w:val="none" w:sz="0" w:space="0" w:color="auto"/>
      </w:divBdr>
      <w:divsChild>
        <w:div w:id="1491751453">
          <w:marLeft w:val="274"/>
          <w:marRight w:val="0"/>
          <w:marTop w:val="0"/>
          <w:marBottom w:val="0"/>
          <w:divBdr>
            <w:top w:val="none" w:sz="0" w:space="0" w:color="auto"/>
            <w:left w:val="none" w:sz="0" w:space="0" w:color="auto"/>
            <w:bottom w:val="none" w:sz="0" w:space="0" w:color="auto"/>
            <w:right w:val="none" w:sz="0" w:space="0" w:color="auto"/>
          </w:divBdr>
        </w:div>
      </w:divsChild>
    </w:div>
    <w:div w:id="1098524151">
      <w:bodyDiv w:val="1"/>
      <w:marLeft w:val="0"/>
      <w:marRight w:val="0"/>
      <w:marTop w:val="0"/>
      <w:marBottom w:val="0"/>
      <w:divBdr>
        <w:top w:val="none" w:sz="0" w:space="0" w:color="auto"/>
        <w:left w:val="none" w:sz="0" w:space="0" w:color="auto"/>
        <w:bottom w:val="none" w:sz="0" w:space="0" w:color="auto"/>
        <w:right w:val="none" w:sz="0" w:space="0" w:color="auto"/>
      </w:divBdr>
      <w:divsChild>
        <w:div w:id="286739326">
          <w:marLeft w:val="274"/>
          <w:marRight w:val="0"/>
          <w:marTop w:val="0"/>
          <w:marBottom w:val="0"/>
          <w:divBdr>
            <w:top w:val="none" w:sz="0" w:space="0" w:color="auto"/>
            <w:left w:val="none" w:sz="0" w:space="0" w:color="auto"/>
            <w:bottom w:val="none" w:sz="0" w:space="0" w:color="auto"/>
            <w:right w:val="none" w:sz="0" w:space="0" w:color="auto"/>
          </w:divBdr>
        </w:div>
      </w:divsChild>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399403739">
      <w:bodyDiv w:val="1"/>
      <w:marLeft w:val="0"/>
      <w:marRight w:val="0"/>
      <w:marTop w:val="0"/>
      <w:marBottom w:val="0"/>
      <w:divBdr>
        <w:top w:val="none" w:sz="0" w:space="0" w:color="auto"/>
        <w:left w:val="none" w:sz="0" w:space="0" w:color="auto"/>
        <w:bottom w:val="none" w:sz="0" w:space="0" w:color="auto"/>
        <w:right w:val="none" w:sz="0" w:space="0" w:color="auto"/>
      </w:divBdr>
      <w:divsChild>
        <w:div w:id="1864784464">
          <w:marLeft w:val="274"/>
          <w:marRight w:val="0"/>
          <w:marTop w:val="0"/>
          <w:marBottom w:val="0"/>
          <w:divBdr>
            <w:top w:val="none" w:sz="0" w:space="0" w:color="auto"/>
            <w:left w:val="none" w:sz="0" w:space="0" w:color="auto"/>
            <w:bottom w:val="none" w:sz="0" w:space="0" w:color="auto"/>
            <w:right w:val="none" w:sz="0" w:space="0" w:color="auto"/>
          </w:divBdr>
        </w:div>
        <w:div w:id="2052611273">
          <w:marLeft w:val="274"/>
          <w:marRight w:val="0"/>
          <w:marTop w:val="0"/>
          <w:marBottom w:val="0"/>
          <w:divBdr>
            <w:top w:val="none" w:sz="0" w:space="0" w:color="auto"/>
            <w:left w:val="none" w:sz="0" w:space="0" w:color="auto"/>
            <w:bottom w:val="none" w:sz="0" w:space="0" w:color="auto"/>
            <w:right w:val="none" w:sz="0" w:space="0" w:color="auto"/>
          </w:divBdr>
        </w:div>
      </w:divsChild>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national-preventive-health-strategy-2021-2030" TargetMode="External"/><Relationship Id="rId18" Type="http://schemas.openxmlformats.org/officeDocument/2006/relationships/hyperlink" Target="https://www.ourwatch.org.au/resource/changing-the-landscape/" TargetMode="External"/><Relationship Id="rId3" Type="http://schemas.openxmlformats.org/officeDocument/2006/relationships/customXml" Target="../customXml/item3.xml"/><Relationship Id="rId21" Type="http://schemas.openxmlformats.org/officeDocument/2006/relationships/hyperlink" Target="https://www.ncas.au/" TargetMode="External"/><Relationship Id="rId7" Type="http://schemas.openxmlformats.org/officeDocument/2006/relationships/settings" Target="settings.xml"/><Relationship Id="rId12" Type="http://schemas.openxmlformats.org/officeDocument/2006/relationships/hyperlink" Target="http://rcfv.archive.royalcommission.vic.gov.au/Report-Recommendations.html" TargetMode="External"/><Relationship Id="rId17" Type="http://schemas.openxmlformats.org/officeDocument/2006/relationships/hyperlink" Target="https://www.ourwatch.org.au/resource/changing-the-pictu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3-ap-southeast-2.amazonaws.com/figshare-production-eu-latrobe-storage9079-ap-southeast-2/29088549/PrideinPreventionEvidenceGuide.pdf?X-Amz-Algorithm=AWS4-HMAC-SHA256&amp;X-Amz-Credential=AKIARRFKZQ25KW2DIYRU/20230919/ap-southeast-2/s3/aws4_request&amp;X-Amz-Date=20230919T010918Z&amp;X-Amz-Expires=10&amp;X-Amz-SignedHeaders=host&amp;X-Amz-Signature=0391305bf2739e4e1e4cbae354dab3e849fcb1cd3c4f70ff11be60c8010fd561" TargetMode="External"/><Relationship Id="rId20" Type="http://schemas.openxmlformats.org/officeDocument/2006/relationships/hyperlink" Target="https://transjustice.org.au/wp-content/uploads/2023/08/Fuelling-Hate-Anti-Trans-Abuse-Harassment-and-Vilification-WEB-SINGLES-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nrows.org.au/research-program/nca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urwatch.org.au/change-the-sto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sites/default/files/2022-10/australian-data-strategy-action-plan.pdf" TargetMode="External"/><Relationship Id="rId22" Type="http://schemas.openxmlformats.org/officeDocument/2006/relationships/hyperlink" Target="https://www.lowitja.org.au/page/research/ethic-hub/menu/guidelines"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7" ma:contentTypeDescription="Create a new document." ma:contentTypeScope="" ma:versionID="a823a272c3ebb9c3230d70d2433a829f">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f1a0424e25dd07c3882cb6a9de88df61"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1f54ee-780e-4002-a58f-1187248705b8}"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98B00-D497-4AA4-BD10-3463EEA148D7}">
  <ds:schemaRefs>
    <ds:schemaRef ds:uri="http://schemas.microsoft.com/office/2006/metadata/properties"/>
    <ds:schemaRef ds:uri="http://schemas.microsoft.com/office/infopath/2007/PartnerControls"/>
    <ds:schemaRef ds:uri="5ce0f2b5-5be5-4508-bce9-d7011ece0659"/>
    <ds:schemaRef ds:uri="59bc64bb-5ffd-47b9-a9eb-a625face39ab"/>
  </ds:schemaRefs>
</ds:datastoreItem>
</file>

<file path=customXml/itemProps2.xml><?xml version="1.0" encoding="utf-8"?>
<ds:datastoreItem xmlns:ds="http://schemas.openxmlformats.org/officeDocument/2006/customXml" ds:itemID="{53345D0F-826A-4FF9-B38C-A6AC49BCDCE0}">
  <ds:schemaRefs>
    <ds:schemaRef ds:uri="http://schemas.microsoft.com/sharepoint/v3/contenttype/forms"/>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AC06D9BC-9932-4E63-973C-301BC1CD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3393</Words>
  <Characters>19341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Links>
    <vt:vector size="132" baseType="variant">
      <vt:variant>
        <vt:i4>5505049</vt:i4>
      </vt:variant>
      <vt:variant>
        <vt:i4>99</vt:i4>
      </vt:variant>
      <vt:variant>
        <vt:i4>0</vt:i4>
      </vt:variant>
      <vt:variant>
        <vt:i4>5</vt:i4>
      </vt:variant>
      <vt:variant>
        <vt:lpwstr>https://www.lowitja.org.au/page/research/ethic-hub/menu/guidelines</vt:lpwstr>
      </vt:variant>
      <vt:variant>
        <vt:lpwstr>:~:text=The%20National%20Statement%20is%20grounded,fields%2C%20and%20to%20specific%20participants.</vt:lpwstr>
      </vt:variant>
      <vt:variant>
        <vt:i4>1441812</vt:i4>
      </vt:variant>
      <vt:variant>
        <vt:i4>96</vt:i4>
      </vt:variant>
      <vt:variant>
        <vt:i4>0</vt:i4>
      </vt:variant>
      <vt:variant>
        <vt:i4>5</vt:i4>
      </vt:variant>
      <vt:variant>
        <vt:lpwstr>https://www.ncas.au/</vt:lpwstr>
      </vt:variant>
      <vt:variant>
        <vt:lpwstr/>
      </vt:variant>
      <vt:variant>
        <vt:i4>1310801</vt:i4>
      </vt:variant>
      <vt:variant>
        <vt:i4>93</vt:i4>
      </vt:variant>
      <vt:variant>
        <vt:i4>0</vt:i4>
      </vt:variant>
      <vt:variant>
        <vt:i4>5</vt:i4>
      </vt:variant>
      <vt:variant>
        <vt:lpwstr>https://transjustice.org.au/wp-content/uploads/2023/08/Fuelling-Hate-Anti-Trans-Abuse-Harassment-and-Vilification-WEB-SINGLES-1-1.pdf</vt:lpwstr>
      </vt:variant>
      <vt:variant>
        <vt:lpwstr/>
      </vt:variant>
      <vt:variant>
        <vt:i4>458835</vt:i4>
      </vt:variant>
      <vt:variant>
        <vt:i4>90</vt:i4>
      </vt:variant>
      <vt:variant>
        <vt:i4>0</vt:i4>
      </vt:variant>
      <vt:variant>
        <vt:i4>5</vt:i4>
      </vt:variant>
      <vt:variant>
        <vt:lpwstr>https://www.ourwatch.org.au/change-the-story/</vt:lpwstr>
      </vt:variant>
      <vt:variant>
        <vt:lpwstr/>
      </vt:variant>
      <vt:variant>
        <vt:i4>5701644</vt:i4>
      </vt:variant>
      <vt:variant>
        <vt:i4>87</vt:i4>
      </vt:variant>
      <vt:variant>
        <vt:i4>0</vt:i4>
      </vt:variant>
      <vt:variant>
        <vt:i4>5</vt:i4>
      </vt:variant>
      <vt:variant>
        <vt:lpwstr>https://www.ourwatch.org.au/resource/changing-the-landscape/</vt:lpwstr>
      </vt:variant>
      <vt:variant>
        <vt:lpwstr/>
      </vt:variant>
      <vt:variant>
        <vt:i4>3014778</vt:i4>
      </vt:variant>
      <vt:variant>
        <vt:i4>84</vt:i4>
      </vt:variant>
      <vt:variant>
        <vt:i4>0</vt:i4>
      </vt:variant>
      <vt:variant>
        <vt:i4>5</vt:i4>
      </vt:variant>
      <vt:variant>
        <vt:lpwstr>https://www.ourwatch.org.au/resource/changing-the-picture/</vt:lpwstr>
      </vt:variant>
      <vt:variant>
        <vt:lpwstr/>
      </vt:variant>
      <vt:variant>
        <vt:i4>2293841</vt:i4>
      </vt:variant>
      <vt:variant>
        <vt:i4>81</vt:i4>
      </vt:variant>
      <vt:variant>
        <vt:i4>0</vt:i4>
      </vt:variant>
      <vt:variant>
        <vt:i4>5</vt:i4>
      </vt:variant>
      <vt:variant>
        <vt:lpwstr>https://s3-ap-southeast-2.amazonaws.com/figshare-production-eu-latrobe-storage9079-ap-southeast-2/29088549/PrideinPreventionEvidenceGuide.pdf?X-Amz-Algorithm=AWS4-HMAC-SHA256&amp;X-Amz-Credential=AKIARRFKZQ25KW2DIYRU/20230919/ap-southeast-2/s3/aws4_request&amp;X-Amz-Date=20230919T010918Z&amp;X-Amz-Expires=10&amp;X-Amz-SignedHeaders=host&amp;X-Amz-Signature=0391305bf2739e4e1e4cbae354dab3e849fcb1cd3c4f70ff11be60c8010fd561</vt:lpwstr>
      </vt:variant>
      <vt:variant>
        <vt:lpwstr/>
      </vt:variant>
      <vt:variant>
        <vt:i4>4587590</vt:i4>
      </vt:variant>
      <vt:variant>
        <vt:i4>78</vt:i4>
      </vt:variant>
      <vt:variant>
        <vt:i4>0</vt:i4>
      </vt:variant>
      <vt:variant>
        <vt:i4>5</vt:i4>
      </vt:variant>
      <vt:variant>
        <vt:lpwstr>https://www.anrows.org.au/research-program/ncas/</vt:lpwstr>
      </vt:variant>
      <vt:variant>
        <vt:lpwstr/>
      </vt:variant>
      <vt:variant>
        <vt:i4>6946865</vt:i4>
      </vt:variant>
      <vt:variant>
        <vt:i4>75</vt:i4>
      </vt:variant>
      <vt:variant>
        <vt:i4>0</vt:i4>
      </vt:variant>
      <vt:variant>
        <vt:i4>5</vt:i4>
      </vt:variant>
      <vt:variant>
        <vt:lpwstr>https://www.finance.gov.au/sites/default/files/2022-10/australian-data-strategy-action-plan.pdf</vt:lpwstr>
      </vt:variant>
      <vt:variant>
        <vt:lpwstr/>
      </vt:variant>
      <vt:variant>
        <vt:i4>8192122</vt:i4>
      </vt:variant>
      <vt:variant>
        <vt:i4>72</vt:i4>
      </vt:variant>
      <vt:variant>
        <vt:i4>0</vt:i4>
      </vt:variant>
      <vt:variant>
        <vt:i4>5</vt:i4>
      </vt:variant>
      <vt:variant>
        <vt:lpwstr>https://www.health.gov.au/resources/publications/national-preventive-health-strategy-2021-2030</vt:lpwstr>
      </vt:variant>
      <vt:variant>
        <vt:lpwstr/>
      </vt:variant>
      <vt:variant>
        <vt:i4>8323111</vt:i4>
      </vt:variant>
      <vt:variant>
        <vt:i4>69</vt:i4>
      </vt:variant>
      <vt:variant>
        <vt:i4>0</vt:i4>
      </vt:variant>
      <vt:variant>
        <vt:i4>5</vt:i4>
      </vt:variant>
      <vt:variant>
        <vt:lpwstr>http://rcfv.archive.royalcommission.vic.gov.au/Report-Recommendations.html</vt:lpwstr>
      </vt:variant>
      <vt:variant>
        <vt:lpwstr/>
      </vt:variant>
      <vt:variant>
        <vt:i4>1703991</vt:i4>
      </vt:variant>
      <vt:variant>
        <vt:i4>62</vt:i4>
      </vt:variant>
      <vt:variant>
        <vt:i4>0</vt:i4>
      </vt:variant>
      <vt:variant>
        <vt:i4>5</vt:i4>
      </vt:variant>
      <vt:variant>
        <vt:lpwstr/>
      </vt:variant>
      <vt:variant>
        <vt:lpwstr>_Toc148363899</vt:lpwstr>
      </vt:variant>
      <vt:variant>
        <vt:i4>1703991</vt:i4>
      </vt:variant>
      <vt:variant>
        <vt:i4>56</vt:i4>
      </vt:variant>
      <vt:variant>
        <vt:i4>0</vt:i4>
      </vt:variant>
      <vt:variant>
        <vt:i4>5</vt:i4>
      </vt:variant>
      <vt:variant>
        <vt:lpwstr/>
      </vt:variant>
      <vt:variant>
        <vt:lpwstr>_Toc148363898</vt:lpwstr>
      </vt:variant>
      <vt:variant>
        <vt:i4>1703991</vt:i4>
      </vt:variant>
      <vt:variant>
        <vt:i4>50</vt:i4>
      </vt:variant>
      <vt:variant>
        <vt:i4>0</vt:i4>
      </vt:variant>
      <vt:variant>
        <vt:i4>5</vt:i4>
      </vt:variant>
      <vt:variant>
        <vt:lpwstr/>
      </vt:variant>
      <vt:variant>
        <vt:lpwstr>_Toc148363897</vt:lpwstr>
      </vt:variant>
      <vt:variant>
        <vt:i4>1703991</vt:i4>
      </vt:variant>
      <vt:variant>
        <vt:i4>44</vt:i4>
      </vt:variant>
      <vt:variant>
        <vt:i4>0</vt:i4>
      </vt:variant>
      <vt:variant>
        <vt:i4>5</vt:i4>
      </vt:variant>
      <vt:variant>
        <vt:lpwstr/>
      </vt:variant>
      <vt:variant>
        <vt:lpwstr>_Toc148363896</vt:lpwstr>
      </vt:variant>
      <vt:variant>
        <vt:i4>1703991</vt:i4>
      </vt:variant>
      <vt:variant>
        <vt:i4>38</vt:i4>
      </vt:variant>
      <vt:variant>
        <vt:i4>0</vt:i4>
      </vt:variant>
      <vt:variant>
        <vt:i4>5</vt:i4>
      </vt:variant>
      <vt:variant>
        <vt:lpwstr/>
      </vt:variant>
      <vt:variant>
        <vt:lpwstr>_Toc148363895</vt:lpwstr>
      </vt:variant>
      <vt:variant>
        <vt:i4>1703991</vt:i4>
      </vt:variant>
      <vt:variant>
        <vt:i4>32</vt:i4>
      </vt:variant>
      <vt:variant>
        <vt:i4>0</vt:i4>
      </vt:variant>
      <vt:variant>
        <vt:i4>5</vt:i4>
      </vt:variant>
      <vt:variant>
        <vt:lpwstr/>
      </vt:variant>
      <vt:variant>
        <vt:lpwstr>_Toc148363894</vt:lpwstr>
      </vt:variant>
      <vt:variant>
        <vt:i4>1703991</vt:i4>
      </vt:variant>
      <vt:variant>
        <vt:i4>26</vt:i4>
      </vt:variant>
      <vt:variant>
        <vt:i4>0</vt:i4>
      </vt:variant>
      <vt:variant>
        <vt:i4>5</vt:i4>
      </vt:variant>
      <vt:variant>
        <vt:lpwstr/>
      </vt:variant>
      <vt:variant>
        <vt:lpwstr>_Toc148363893</vt:lpwstr>
      </vt:variant>
      <vt:variant>
        <vt:i4>1703991</vt:i4>
      </vt:variant>
      <vt:variant>
        <vt:i4>20</vt:i4>
      </vt:variant>
      <vt:variant>
        <vt:i4>0</vt:i4>
      </vt:variant>
      <vt:variant>
        <vt:i4>5</vt:i4>
      </vt:variant>
      <vt:variant>
        <vt:lpwstr/>
      </vt:variant>
      <vt:variant>
        <vt:lpwstr>_Toc148363892</vt:lpwstr>
      </vt:variant>
      <vt:variant>
        <vt:i4>1703991</vt:i4>
      </vt:variant>
      <vt:variant>
        <vt:i4>14</vt:i4>
      </vt:variant>
      <vt:variant>
        <vt:i4>0</vt:i4>
      </vt:variant>
      <vt:variant>
        <vt:i4>5</vt:i4>
      </vt:variant>
      <vt:variant>
        <vt:lpwstr/>
      </vt:variant>
      <vt:variant>
        <vt:lpwstr>_Toc148363891</vt:lpwstr>
      </vt:variant>
      <vt:variant>
        <vt:i4>1703991</vt:i4>
      </vt:variant>
      <vt:variant>
        <vt:i4>8</vt:i4>
      </vt:variant>
      <vt:variant>
        <vt:i4>0</vt:i4>
      </vt:variant>
      <vt:variant>
        <vt:i4>5</vt:i4>
      </vt:variant>
      <vt:variant>
        <vt:lpwstr/>
      </vt:variant>
      <vt:variant>
        <vt:lpwstr>_Toc148363890</vt:lpwstr>
      </vt:variant>
      <vt:variant>
        <vt:i4>1769527</vt:i4>
      </vt:variant>
      <vt:variant>
        <vt:i4>2</vt:i4>
      </vt:variant>
      <vt:variant>
        <vt:i4>0</vt:i4>
      </vt:variant>
      <vt:variant>
        <vt:i4>5</vt:i4>
      </vt:variant>
      <vt:variant>
        <vt:lpwstr/>
      </vt:variant>
      <vt:variant>
        <vt:lpwstr>_Toc148363889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Lauren Coutts (RespectVictoria)</cp:lastModifiedBy>
  <cp:revision>6</cp:revision>
  <cp:lastPrinted>2023-10-17T17:55:00Z</cp:lastPrinted>
  <dcterms:created xsi:type="dcterms:W3CDTF">2023-10-16T23:00:00Z</dcterms:created>
  <dcterms:modified xsi:type="dcterms:W3CDTF">2023-10-17T18:00:00Z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0x010100D6070F893825EA4290BBDA8A1038E3AA</vt:lpwstr>
  </property>
  <property fmtid="{D5CDD505-2E9C-101B-9397-08002B2CF9AE}" pid="3" name="MediaServiceImageTags">
    <vt:lpwstr/>
  </property>
</Properties>
</file>