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41" w14:textId="4A49D7AC" w:rsidR="005204FB" w:rsidRDefault="002748EB">
      <w:r>
        <w:rPr>
          <w:noProof/>
        </w:rPr>
        <mc:AlternateContent>
          <mc:Choice Requires="wps">
            <w:drawing>
              <wp:anchor distT="0" distB="0" distL="114300" distR="114300" simplePos="0" relativeHeight="251707902" behindDoc="0" locked="0" layoutInCell="1" allowOverlap="1" wp14:anchorId="0DE3C152" wp14:editId="1F0B97AF">
                <wp:simplePos x="0" y="0"/>
                <wp:positionH relativeFrom="margin">
                  <wp:posOffset>-3810</wp:posOffset>
                </wp:positionH>
                <wp:positionV relativeFrom="page">
                  <wp:posOffset>533400</wp:posOffset>
                </wp:positionV>
                <wp:extent cx="6162675" cy="2475230"/>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6162675" cy="2475230"/>
                        </a:xfrm>
                        <a:prstGeom prst="rect">
                          <a:avLst/>
                        </a:prstGeom>
                        <a:noFill/>
                        <a:ln w="6350">
                          <a:noFill/>
                        </a:ln>
                        <a:effectLst/>
                      </wps:spPr>
                      <wps:txbx>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1F787AF4" w:rsidR="002748EB" w:rsidRPr="0039379B" w:rsidRDefault="0039379B" w:rsidP="00FB34A5">
                            <w:pPr>
                              <w:pStyle w:val="Title"/>
                              <w:rPr>
                                <w:sz w:val="140"/>
                                <w:szCs w:val="140"/>
                              </w:rPr>
                            </w:pPr>
                            <w:r w:rsidRPr="0039379B">
                              <w:rPr>
                                <w:sz w:val="140"/>
                                <w:szCs w:val="140"/>
                              </w:rPr>
                              <w:t>Non-partner sexual assault against women</w:t>
                            </w:r>
                          </w:p>
                          <w:p w14:paraId="3C7F45F5" w14:textId="6079F821" w:rsidR="002748EB" w:rsidRPr="004B6AB2" w:rsidRDefault="002748EB" w:rsidP="002748EB">
                            <w:pPr>
                              <w:pStyle w:val="Subtitle"/>
                              <w:rPr>
                                <w:color w:val="FFFDEE" w:themeColor="background1"/>
                              </w:rPr>
                            </w:pPr>
                            <w:r>
                              <w:rPr>
                                <w:color w:val="FFFDEE" w:themeColor="background1"/>
                              </w:rPr>
                              <w:t>Research summary</w:t>
                            </w:r>
                          </w:p>
                          <w:p w14:paraId="79ABAE47" w14:textId="77777777" w:rsidR="002748EB" w:rsidRDefault="002748EB" w:rsidP="002748EB">
                            <w:pPr>
                              <w:pStyle w:val="Sub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DE3C152" id="_x0000_t202" coordsize="21600,21600" o:spt="202" path="m,l,21600r21600,l21600,xe">
                <v:stroke joinstyle="miter"/>
                <v:path gradientshapeok="t" o:connecttype="rect"/>
              </v:shapetype>
              <v:shape id="Text Box 16" o:spid="_x0000_s1026" type="#_x0000_t202" style="position:absolute;margin-left:-.3pt;margin-top:42pt;width:485.25pt;height:194.9pt;z-index:25170790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" filled="f" stroked="f" strokeweight=".5pt">
                <v:textbox style="mso-fit-shape-to-text:t" inset="0,0,0,0">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1F787AF4" w:rsidR="002748EB" w:rsidRPr="0039379B" w:rsidRDefault="0039379B" w:rsidP="00FB34A5">
                      <w:pPr>
                        <w:pStyle w:val="Title"/>
                        <w:rPr>
                          <w:sz w:val="140"/>
                          <w:szCs w:val="140"/>
                        </w:rPr>
                      </w:pPr>
                      <w:r w:rsidRPr="0039379B">
                        <w:rPr>
                          <w:sz w:val="140"/>
                          <w:szCs w:val="140"/>
                        </w:rPr>
                        <w:t>Non-partner sexual assault against women</w:t>
                      </w:r>
                    </w:p>
                    <w:p w14:paraId="3C7F45F5" w14:textId="6079F821" w:rsidR="002748EB" w:rsidRPr="004B6AB2" w:rsidRDefault="002748EB" w:rsidP="002748EB">
                      <w:pPr>
                        <w:pStyle w:val="Subtitle"/>
                        <w:rPr>
                          <w:color w:val="FFFDEE" w:themeColor="background1"/>
                        </w:rPr>
                      </w:pPr>
                      <w:r>
                        <w:rPr>
                          <w:color w:val="FFFDEE" w:themeColor="background1"/>
                        </w:rPr>
                        <w:t>Research summary</w:t>
                      </w:r>
                    </w:p>
                    <w:p w14:paraId="79ABAE47" w14:textId="77777777" w:rsidR="002748EB" w:rsidRDefault="002748EB" w:rsidP="002748EB">
                      <w:pPr>
                        <w:pStyle w:val="Subtitle"/>
                      </w:pPr>
                    </w:p>
                  </w:txbxContent>
                </v:textbox>
                <w10:wrap anchorx="margin" anchory="page"/>
              </v:shape>
            </w:pict>
          </mc:Fallback>
        </mc:AlternateContent>
      </w:r>
      <w:r w:rsidR="005204FB">
        <w:rPr>
          <w:noProof/>
        </w:rPr>
        <mc:AlternateContent>
          <mc:Choice Requires="wps">
            <w:drawing>
              <wp:anchor distT="0" distB="0" distL="114300" distR="114300" simplePos="0" relativeHeight="251671552" behindDoc="1" locked="0" layoutInCell="1" allowOverlap="1" wp14:anchorId="46F01A5B" wp14:editId="49A35EED">
                <wp:simplePos x="0" y="0"/>
                <wp:positionH relativeFrom="page">
                  <wp:posOffset>0</wp:posOffset>
                </wp:positionH>
                <wp:positionV relativeFrom="paragraph">
                  <wp:posOffset>-658837</wp:posOffset>
                </wp:positionV>
                <wp:extent cx="7624689" cy="10830757"/>
                <wp:effectExtent l="0" t="0" r="8255" b="15240"/>
                <wp:wrapNone/>
                <wp:docPr id="22" name="Rectangle 22"/>
                <wp:cNvGraphicFramePr/>
                <a:graphic xmlns:a="http://schemas.openxmlformats.org/drawingml/2006/main">
                  <a:graphicData uri="http://schemas.microsoft.com/office/word/2010/wordprocessingShape">
                    <wps:wsp>
                      <wps:cNvSpPr/>
                      <wps:spPr>
                        <a:xfrm>
                          <a:off x="0" y="0"/>
                          <a:ext cx="7624689" cy="108307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4ADC0"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01A5B" id="Rectangle 22" o:spid="_x0000_s1027" style="position:absolute;margin-left:0;margin-top:-51.9pt;width:600.35pt;height:85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" fillcolor="#ff4900 [3204]" strokecolor="#7f2400 [1604]" strokeweight="1pt">
                <v:textbox>
                  <w:txbxContent>
                    <w:p w14:paraId="7344ADC0"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037CEF22" w14:textId="77777777" w:rsidR="005204FB" w:rsidRDefault="005204FB"/>
        <w:p w14:paraId="6AEEA605" w14:textId="77777777" w:rsidR="00574EB7" w:rsidRDefault="00574EB7">
          <w:pPr>
            <w:spacing w:line="259" w:lineRule="auto"/>
            <w:rPr>
              <w:noProof/>
            </w:rPr>
          </w:pPr>
        </w:p>
        <w:p w14:paraId="6063F045" w14:textId="77777777" w:rsidR="00574EB7" w:rsidRDefault="00574EB7">
          <w:pPr>
            <w:spacing w:line="259" w:lineRule="auto"/>
            <w:rPr>
              <w:noProof/>
            </w:rPr>
          </w:pPr>
        </w:p>
        <w:p w14:paraId="75057AD4" w14:textId="77777777" w:rsidR="00574EB7" w:rsidRDefault="00574EB7">
          <w:pPr>
            <w:spacing w:line="259" w:lineRule="auto"/>
            <w:rPr>
              <w:noProof/>
            </w:rPr>
          </w:pPr>
        </w:p>
        <w:p w14:paraId="6E460934" w14:textId="77777777" w:rsidR="00574EB7" w:rsidRDefault="00574EB7">
          <w:pPr>
            <w:spacing w:line="259" w:lineRule="auto"/>
            <w:rPr>
              <w:noProof/>
            </w:rPr>
          </w:pPr>
        </w:p>
        <w:p w14:paraId="0FDC0934" w14:textId="77777777" w:rsidR="00574EB7" w:rsidRDefault="00574EB7">
          <w:pPr>
            <w:spacing w:line="259" w:lineRule="auto"/>
            <w:rPr>
              <w:noProof/>
            </w:rPr>
          </w:pPr>
        </w:p>
        <w:p w14:paraId="0759C65E" w14:textId="7E2FB7B7" w:rsidR="00DC550F" w:rsidRDefault="00815044" w:rsidP="004908C6">
          <w:pPr>
            <w:spacing w:line="259" w:lineRule="auto"/>
            <w:rPr>
              <w:noProof/>
            </w:rPr>
            <w:sectPr w:rsidR="00DC550F" w:rsidSect="005204FB">
              <w:footerReference w:type="default" r:id="rId11"/>
              <w:pgSz w:w="11906" w:h="16838"/>
              <w:pgMar w:top="816" w:right="816" w:bottom="816" w:left="816" w:header="794" w:footer="454" w:gutter="0"/>
              <w:pgNumType w:start="0"/>
              <w:cols w:space="708"/>
              <w:titlePg/>
              <w:docGrid w:linePitch="360"/>
            </w:sectPr>
          </w:pPr>
          <w:r>
            <w:rPr>
              <w:noProof/>
            </w:rPr>
            <w:drawing>
              <wp:anchor distT="0" distB="0" distL="114300" distR="114300" simplePos="0" relativeHeight="251702782" behindDoc="0" locked="0" layoutInCell="1" allowOverlap="1" wp14:anchorId="1802F746" wp14:editId="21B18AC7">
                <wp:simplePos x="0" y="0"/>
                <wp:positionH relativeFrom="column">
                  <wp:posOffset>4766945</wp:posOffset>
                </wp:positionH>
                <wp:positionV relativeFrom="paragraph">
                  <wp:posOffset>6634480</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6" behindDoc="0" locked="0" layoutInCell="1" allowOverlap="1" wp14:anchorId="3AC94E28" wp14:editId="255187C1">
                <wp:simplePos x="0" y="0"/>
                <wp:positionH relativeFrom="column">
                  <wp:posOffset>1310640</wp:posOffset>
                </wp:positionH>
                <wp:positionV relativeFrom="paragraph">
                  <wp:posOffset>6682105</wp:posOffset>
                </wp:positionV>
                <wp:extent cx="2974975" cy="909320"/>
                <wp:effectExtent l="0" t="0" r="0" b="5080"/>
                <wp:wrapNone/>
                <wp:docPr id="16948973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sidR="005204FB">
            <w:rPr>
              <w:noProof/>
            </w:rPr>
            <w:br w:type="page"/>
          </w:r>
        </w:p>
      </w:sdtContent>
    </w:sdt>
    <w:p w14:paraId="1A1BB9A6" w14:textId="1213B28C" w:rsidR="00BC10E6" w:rsidRPr="00E97906" w:rsidRDefault="00522A5F" w:rsidP="00E97906">
      <w:pPr>
        <w:pStyle w:val="Heading2"/>
      </w:pPr>
      <w:r w:rsidRPr="00510944">
        <w:rPr>
          <w:noProof/>
          <w:color w:val="003639" w:themeColor="text1"/>
        </w:rPr>
        <w:lastRenderedPageBreak/>
        <mc:AlternateContent>
          <mc:Choice Requires="wps">
            <w:drawing>
              <wp:anchor distT="0" distB="0" distL="114300" distR="114300" simplePos="0" relativeHeight="251705854" behindDoc="1" locked="0" layoutInCell="1" allowOverlap="1" wp14:anchorId="0CB63AF4" wp14:editId="42F14C21">
                <wp:simplePos x="0" y="0"/>
                <wp:positionH relativeFrom="page">
                  <wp:posOffset>-22062</wp:posOffset>
                </wp:positionH>
                <wp:positionV relativeFrom="paragraph">
                  <wp:posOffset>-514350</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CD95D" w14:textId="77777777" w:rsidR="00CE2F77" w:rsidRDefault="00CE2F77" w:rsidP="00CE2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3AF4" id="Rectangle 1258825665" o:spid="_x0000_s1028" style="position:absolute;margin-left:-1.75pt;margin-top:-40.5pt;width:599.25pt;height:852.8pt;z-index:-2516106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" fillcolor="#fffdee [3212]" stroked="f" strokeweight="1pt">
                <v:textbox>
                  <w:txbxContent>
                    <w:p w14:paraId="0B9CD95D" w14:textId="77777777" w:rsidR="00CE2F77" w:rsidRDefault="00CE2F77" w:rsidP="00CE2F77">
                      <w:pPr>
                        <w:jc w:val="center"/>
                      </w:pPr>
                    </w:p>
                  </w:txbxContent>
                </v:textbox>
                <w10:wrap anchorx="page"/>
              </v:rect>
            </w:pict>
          </mc:Fallback>
        </mc:AlternateContent>
      </w:r>
      <w:r w:rsidR="00862FB0" w:rsidRPr="00510944">
        <w:rPr>
          <w:color w:val="003639" w:themeColor="text1"/>
        </w:rPr>
        <w:t>Non-partner sexual assault against women</w:t>
      </w:r>
    </w:p>
    <w:p w14:paraId="7E28A15F" w14:textId="77777777" w:rsidR="009D1F7D" w:rsidRDefault="009D1F7D" w:rsidP="009D1F7D">
      <w:r>
        <w:t>This research summary draws on an evidence review undertaken by Antonia Quadara (Australian Institute of Family Studies) in 2022 as part of the Summarising the evidence project. The summary was developed by Respect Victoria in consultation with the evidence review authors.</w:t>
      </w:r>
    </w:p>
    <w:p w14:paraId="77C3A628" w14:textId="7CE30971" w:rsidR="009D1F7D" w:rsidRDefault="009D1F7D" w:rsidP="009D1F7D">
      <w:r>
        <w:t xml:space="preserve">Visit the </w:t>
      </w:r>
      <w:hyperlink r:id="rId14" w:history="1">
        <w:r w:rsidRPr="00895182">
          <w:rPr>
            <w:rStyle w:val="Hyperlink"/>
            <w:rFonts w:ascii="Arial" w:hAnsi="Arial"/>
            <w:i/>
            <w:iCs/>
          </w:rPr>
          <w:t>Summarising the evidence</w:t>
        </w:r>
        <w:r w:rsidRPr="00895182">
          <w:rPr>
            <w:rStyle w:val="Hyperlink"/>
            <w:rFonts w:ascii="Arial" w:hAnsi="Arial"/>
          </w:rPr>
          <w:t xml:space="preserve"> project page</w:t>
        </w:r>
      </w:hyperlink>
      <w:r>
        <w:t xml:space="preserve"> for the accompanying context brief, as well as information about the scope and aims of the project.</w:t>
      </w:r>
    </w:p>
    <w:p w14:paraId="201B1AE4" w14:textId="27CA34E8" w:rsidR="00CE2F77" w:rsidRDefault="009D1F7D" w:rsidP="009D1F7D">
      <w:r>
        <w:t>Respect Victoria gratefully acknowledges the work of the Australian Institute of Family Studies and all authors in conducting this work.</w:t>
      </w:r>
    </w:p>
    <w:p w14:paraId="465081A9" w14:textId="77777777" w:rsidR="00837D46" w:rsidRDefault="00837D46" w:rsidP="00CE2F77"/>
    <w:p w14:paraId="06EC07C6" w14:textId="77777777" w:rsidR="00837D46" w:rsidRDefault="00837D46" w:rsidP="00CE2F77"/>
    <w:p w14:paraId="2CB2CDFB" w14:textId="77777777" w:rsidR="00837D46" w:rsidRDefault="00837D46" w:rsidP="00CE2F77"/>
    <w:p w14:paraId="0EDCE2E1" w14:textId="77777777" w:rsidR="00CE2F77" w:rsidRDefault="00CE2F77" w:rsidP="00CE2F77"/>
    <w:p w14:paraId="3D8564D9" w14:textId="77777777" w:rsidR="00CE2F77" w:rsidRDefault="00CE2F77" w:rsidP="00CE2F77"/>
    <w:p w14:paraId="1A872946" w14:textId="77777777" w:rsidR="00CE2F77" w:rsidRDefault="00CE2F77" w:rsidP="00CE2F77"/>
    <w:p w14:paraId="1787DDCF" w14:textId="77777777" w:rsidR="00CE2F77" w:rsidRDefault="00CE2F77" w:rsidP="00CE2F77"/>
    <w:p w14:paraId="26194E63" w14:textId="77777777" w:rsidR="00CE2F77" w:rsidRDefault="00CE2F77" w:rsidP="00CE2F77"/>
    <w:p w14:paraId="57C5C2BE" w14:textId="77777777" w:rsidR="00CE2F77" w:rsidRDefault="00CE2F77" w:rsidP="00CE2F77"/>
    <w:p w14:paraId="4748C483" w14:textId="77777777" w:rsidR="00CE2F77" w:rsidRDefault="00CE2F77" w:rsidP="00CE2F77"/>
    <w:p w14:paraId="364C71C3" w14:textId="77777777" w:rsidR="00CE2F77" w:rsidRDefault="00CE2F77" w:rsidP="00CE2F77"/>
    <w:p w14:paraId="1673A012" w14:textId="77777777" w:rsidR="00CE2F77" w:rsidRDefault="00CE2F77" w:rsidP="00CE2F77"/>
    <w:p w14:paraId="17223416" w14:textId="77777777" w:rsidR="00CE2F77" w:rsidRDefault="00CE2F77" w:rsidP="00CE2F77"/>
    <w:p w14:paraId="04E21176" w14:textId="77777777" w:rsidR="00CE2F77" w:rsidRDefault="00CE2F77" w:rsidP="00CE2F77"/>
    <w:p w14:paraId="626B7843" w14:textId="77777777" w:rsidR="00CE2F77" w:rsidRDefault="00CE2F77" w:rsidP="00CE2F77"/>
    <w:p w14:paraId="7E3002A3" w14:textId="77777777" w:rsidR="00CE2F77" w:rsidRPr="006D1835" w:rsidRDefault="00CE2F77" w:rsidP="00CE2F77"/>
    <w:p w14:paraId="79B2EDA3" w14:textId="77777777" w:rsidR="00CE2F77" w:rsidRPr="00BC10E6" w:rsidRDefault="00CE2F77" w:rsidP="00CE2F77"/>
    <w:p w14:paraId="32194733" w14:textId="77777777" w:rsidR="00E97906" w:rsidRDefault="00E97906" w:rsidP="00BC10E6"/>
    <w:p w14:paraId="0ECD4F4A" w14:textId="77777777" w:rsidR="000450A2" w:rsidRDefault="000450A2" w:rsidP="00BC10E6"/>
    <w:p w14:paraId="00A556F7" w14:textId="77777777" w:rsidR="00522A5F" w:rsidRDefault="00522A5F" w:rsidP="00CE2F77">
      <w:pPr>
        <w:pStyle w:val="Heading2"/>
      </w:pPr>
    </w:p>
    <w:p w14:paraId="17132128" w14:textId="77777777" w:rsidR="00522A5F" w:rsidRDefault="00522A5F" w:rsidP="00CE2F77">
      <w:pPr>
        <w:pStyle w:val="Heading2"/>
      </w:pPr>
    </w:p>
    <w:tbl>
      <w:tblPr>
        <w:tblStyle w:val="RespectVictoriaTable"/>
        <w:tblW w:w="9935" w:type="dxa"/>
        <w:tblLook w:val="04A0" w:firstRow="1" w:lastRow="0" w:firstColumn="1" w:lastColumn="0" w:noHBand="0" w:noVBand="1"/>
      </w:tblPr>
      <w:tblGrid>
        <w:gridCol w:w="2041"/>
        <w:gridCol w:w="7894"/>
      </w:tblGrid>
      <w:tr w:rsidR="00510944" w:rsidRPr="00510944" w14:paraId="03FB1EF9" w14:textId="77777777" w:rsidTr="006B3855">
        <w:trPr>
          <w:cnfStyle w:val="100000000000" w:firstRow="1" w:lastRow="0" w:firstColumn="0" w:lastColumn="0" w:oddVBand="0" w:evenVBand="0" w:oddHBand="0" w:evenHBand="0" w:firstRowFirstColumn="0" w:firstRowLastColumn="0" w:lastRowFirstColumn="0" w:lastRowLastColumn="0"/>
          <w:trHeight w:val="311"/>
        </w:trPr>
        <w:tc>
          <w:tcPr>
            <w:tcW w:w="1917" w:type="dxa"/>
          </w:tcPr>
          <w:p w14:paraId="5410F9D8" w14:textId="77777777" w:rsidR="00522A5F" w:rsidRPr="00510944" w:rsidRDefault="00522A5F" w:rsidP="006B3855">
            <w:pPr>
              <w:rPr>
                <w:color w:val="003639" w:themeColor="text1"/>
              </w:rPr>
            </w:pPr>
            <w:r w:rsidRPr="00510944">
              <w:rPr>
                <w:color w:val="003639" w:themeColor="text1"/>
                <w:lang w:val="en-GB"/>
              </w:rPr>
              <w:lastRenderedPageBreak/>
              <w:br w:type="page"/>
            </w:r>
            <w:r w:rsidRPr="00510944">
              <w:rPr>
                <w:color w:val="003639" w:themeColor="text1"/>
              </w:rPr>
              <w:t>Domain</w:t>
            </w:r>
          </w:p>
        </w:tc>
        <w:tc>
          <w:tcPr>
            <w:tcW w:w="8018" w:type="dxa"/>
          </w:tcPr>
          <w:p w14:paraId="2A4DC13E" w14:textId="77777777" w:rsidR="00522A5F" w:rsidRPr="00510944" w:rsidRDefault="00522A5F" w:rsidP="006B3855">
            <w:pPr>
              <w:rPr>
                <w:color w:val="003639" w:themeColor="text1"/>
              </w:rPr>
            </w:pPr>
            <w:r w:rsidRPr="00510944">
              <w:rPr>
                <w:color w:val="003639" w:themeColor="text1"/>
              </w:rPr>
              <w:t>Summary of research</w:t>
            </w:r>
          </w:p>
        </w:tc>
      </w:tr>
      <w:tr w:rsidR="00510944" w:rsidRPr="00510944" w14:paraId="06F95D5A" w14:textId="77777777" w:rsidTr="006B3855">
        <w:trPr>
          <w:trHeight w:val="418"/>
        </w:trPr>
        <w:tc>
          <w:tcPr>
            <w:tcW w:w="1917" w:type="dxa"/>
          </w:tcPr>
          <w:p w14:paraId="53DFF9D1" w14:textId="77777777" w:rsidR="00522A5F" w:rsidRPr="00510944" w:rsidRDefault="00522A5F" w:rsidP="006B3855">
            <w:pPr>
              <w:rPr>
                <w:rFonts w:eastAsia="Times New Roman"/>
                <w:b/>
                <w:color w:val="003639" w:themeColor="text1"/>
                <w:szCs w:val="20"/>
                <w:lang w:eastAsia="en-AU" w:bidi="en-US"/>
              </w:rPr>
            </w:pPr>
            <w:r w:rsidRPr="00510944">
              <w:rPr>
                <w:rFonts w:eastAsia="Times New Roman"/>
                <w:b/>
                <w:color w:val="003639" w:themeColor="text1"/>
                <w:szCs w:val="20"/>
                <w:lang w:eastAsia="en-AU" w:bidi="en-US"/>
              </w:rPr>
              <w:t>Definition</w:t>
            </w:r>
          </w:p>
        </w:tc>
        <w:tc>
          <w:tcPr>
            <w:tcW w:w="8018" w:type="dxa"/>
          </w:tcPr>
          <w:p w14:paraId="527FAC14" w14:textId="34F81D7D" w:rsidR="00522A5F" w:rsidRPr="00510944" w:rsidRDefault="00522A5F" w:rsidP="00DF0BD6">
            <w:pPr>
              <w:rPr>
                <w:color w:val="003639" w:themeColor="text1"/>
              </w:rPr>
            </w:pPr>
            <w:r w:rsidRPr="00510944">
              <w:rPr>
                <w:color w:val="003639" w:themeColor="text1"/>
                <w:lang w:eastAsia="en-AU" w:bidi="en-US"/>
              </w:rPr>
              <w:t xml:space="preserve">An act of a sexual nature carried out without a person’s consent </w:t>
            </w:r>
            <w:proofErr w:type="gramStart"/>
            <w:r w:rsidRPr="00510944">
              <w:rPr>
                <w:color w:val="003639" w:themeColor="text1"/>
                <w:lang w:eastAsia="en-AU" w:bidi="en-US"/>
              </w:rPr>
              <w:t>through the use of</w:t>
            </w:r>
            <w:proofErr w:type="gramEnd"/>
            <w:r w:rsidRPr="00510944">
              <w:rPr>
                <w:color w:val="003639" w:themeColor="text1"/>
                <w:lang w:eastAsia="en-AU" w:bidi="en-US"/>
              </w:rPr>
              <w:t xml:space="preserve"> physical force, intimidation or coercion, including any attempts to do this. This includes rape, attempted rape, aggravated sexual assault (assault with a weapon), indecent assault, penetration by objects, forced sexual activity that did not end in penetration and attempts to force a person into sexual activity.</w:t>
            </w:r>
            <w:r w:rsidRPr="00510944">
              <w:rPr>
                <w:noProof/>
                <w:color w:val="003639" w:themeColor="text1"/>
                <w:vertAlign w:val="superscript"/>
                <w:lang w:eastAsia="en-AU" w:bidi="en-US"/>
              </w:rPr>
              <w:t>1</w:t>
            </w:r>
            <w:r w:rsidRPr="00510944">
              <w:rPr>
                <w:color w:val="003639" w:themeColor="text1"/>
              </w:rPr>
              <w:t xml:space="preserve"> </w:t>
            </w:r>
            <w:r w:rsidRPr="00510944">
              <w:rPr>
                <w:color w:val="003639" w:themeColor="text1"/>
                <w:lang w:eastAsia="en-AU" w:bidi="en-US"/>
              </w:rPr>
              <w:t xml:space="preserve">Lack of consent includes circumstances of verbal coercion, use of/threat of violence or force, physical restraint or incapacitation such as intoxication, sleeping, and unconsciousness.  </w:t>
            </w:r>
          </w:p>
        </w:tc>
      </w:tr>
      <w:tr w:rsidR="00510944" w:rsidRPr="00510944" w14:paraId="083FC73C" w14:textId="77777777" w:rsidTr="006B3855">
        <w:trPr>
          <w:trHeight w:val="418"/>
        </w:trPr>
        <w:tc>
          <w:tcPr>
            <w:tcW w:w="1917" w:type="dxa"/>
          </w:tcPr>
          <w:p w14:paraId="277EF042" w14:textId="77777777" w:rsidR="00522A5F" w:rsidRPr="00510944" w:rsidRDefault="00522A5F" w:rsidP="006B3855">
            <w:pPr>
              <w:rPr>
                <w:rFonts w:eastAsia="Times New Roman"/>
                <w:b/>
                <w:color w:val="003639" w:themeColor="text1"/>
                <w:szCs w:val="20"/>
                <w:lang w:eastAsia="en-AU" w:bidi="en-US"/>
              </w:rPr>
            </w:pPr>
            <w:r w:rsidRPr="00510944">
              <w:rPr>
                <w:rFonts w:eastAsia="Times New Roman"/>
                <w:b/>
                <w:color w:val="003639" w:themeColor="text1"/>
                <w:szCs w:val="20"/>
                <w:lang w:eastAsia="en-AU" w:bidi="en-US"/>
              </w:rPr>
              <w:t>Behaviours</w:t>
            </w:r>
          </w:p>
        </w:tc>
        <w:tc>
          <w:tcPr>
            <w:tcW w:w="8018" w:type="dxa"/>
          </w:tcPr>
          <w:p w14:paraId="4BD3CE0C" w14:textId="77777777" w:rsidR="00522A5F" w:rsidRPr="00510944" w:rsidRDefault="00522A5F" w:rsidP="00DF0BD6">
            <w:pPr>
              <w:rPr>
                <w:color w:val="003639" w:themeColor="text1"/>
                <w:lang w:eastAsia="en-AU" w:bidi="en-US"/>
              </w:rPr>
            </w:pPr>
            <w:r w:rsidRPr="00510944">
              <w:rPr>
                <w:color w:val="003639" w:themeColor="text1"/>
                <w:lang w:eastAsia="en-AU" w:bidi="en-US"/>
              </w:rPr>
              <w:t xml:space="preserve">The focus of the review and this summary is on 1) actual and attempted rape: non-consensual penetration (penetration of the vagina, anus or mouth without consent) and 2) indecent assault: sexual touching without consent. Additional forms of sexual violence discussed in other research summaries include: </w:t>
            </w:r>
          </w:p>
          <w:p w14:paraId="1794736F" w14:textId="5915A9F0" w:rsidR="00522A5F" w:rsidRPr="00510944" w:rsidRDefault="000515F9" w:rsidP="007A6195">
            <w:pPr>
              <w:pStyle w:val="ListParagraph"/>
              <w:numPr>
                <w:ilvl w:val="0"/>
                <w:numId w:val="88"/>
              </w:numPr>
              <w:rPr>
                <w:color w:val="003639" w:themeColor="text1"/>
                <w:lang w:eastAsia="en-AU" w:bidi="en-US"/>
              </w:rPr>
            </w:pPr>
            <w:r w:rsidRPr="00510944">
              <w:rPr>
                <w:color w:val="003639" w:themeColor="text1"/>
                <w:lang w:eastAsia="en-AU" w:bidi="en-US"/>
              </w:rPr>
              <w:t>c</w:t>
            </w:r>
            <w:r w:rsidR="00522A5F" w:rsidRPr="00510944">
              <w:rPr>
                <w:color w:val="003639" w:themeColor="text1"/>
                <w:lang w:eastAsia="en-AU" w:bidi="en-US"/>
              </w:rPr>
              <w:t xml:space="preserve">hild sexual assault occurring in a familial </w:t>
            </w:r>
            <w:proofErr w:type="gramStart"/>
            <w:r w:rsidR="00522A5F" w:rsidRPr="00510944">
              <w:rPr>
                <w:color w:val="003639" w:themeColor="text1"/>
                <w:lang w:eastAsia="en-AU" w:bidi="en-US"/>
              </w:rPr>
              <w:t>context</w:t>
            </w:r>
            <w:proofErr w:type="gramEnd"/>
          </w:p>
          <w:p w14:paraId="351D3155" w14:textId="633B1C80" w:rsidR="00522A5F" w:rsidRPr="00510944" w:rsidRDefault="000515F9" w:rsidP="007A6195">
            <w:pPr>
              <w:pStyle w:val="ListParagraph"/>
              <w:numPr>
                <w:ilvl w:val="0"/>
                <w:numId w:val="88"/>
              </w:numPr>
              <w:rPr>
                <w:color w:val="003639" w:themeColor="text1"/>
                <w:lang w:eastAsia="en-AU" w:bidi="en-US"/>
              </w:rPr>
            </w:pPr>
            <w:r w:rsidRPr="00510944">
              <w:rPr>
                <w:color w:val="003639" w:themeColor="text1"/>
                <w:lang w:eastAsia="en-AU" w:bidi="en-US"/>
              </w:rPr>
              <w:t>i</w:t>
            </w:r>
            <w:r w:rsidR="00522A5F" w:rsidRPr="00510944">
              <w:rPr>
                <w:color w:val="003639" w:themeColor="text1"/>
                <w:lang w:eastAsia="en-AU" w:bidi="en-US"/>
              </w:rPr>
              <w:t>ntimate partner sexual assault</w:t>
            </w:r>
          </w:p>
          <w:p w14:paraId="3BFA52B6" w14:textId="1EB11352" w:rsidR="00522A5F" w:rsidRPr="00510944" w:rsidRDefault="000515F9" w:rsidP="007A6195">
            <w:pPr>
              <w:pStyle w:val="ListParagraph"/>
              <w:numPr>
                <w:ilvl w:val="0"/>
                <w:numId w:val="88"/>
              </w:numPr>
              <w:rPr>
                <w:color w:val="003639" w:themeColor="text1"/>
                <w:lang w:eastAsia="en-AU" w:bidi="en-US"/>
              </w:rPr>
            </w:pPr>
            <w:r w:rsidRPr="00510944">
              <w:rPr>
                <w:color w:val="003639" w:themeColor="text1"/>
                <w:lang w:eastAsia="en-AU" w:bidi="en-US"/>
              </w:rPr>
              <w:t>s</w:t>
            </w:r>
            <w:r w:rsidR="00522A5F" w:rsidRPr="00510944">
              <w:rPr>
                <w:color w:val="003639" w:themeColor="text1"/>
                <w:lang w:eastAsia="en-AU" w:bidi="en-US"/>
              </w:rPr>
              <w:t>exual Harassment in the Workplace sexual harassment</w:t>
            </w:r>
          </w:p>
          <w:p w14:paraId="0D43D8E0" w14:textId="2B5D2424" w:rsidR="00522A5F" w:rsidRPr="00510944" w:rsidRDefault="000515F9" w:rsidP="007A6195">
            <w:pPr>
              <w:pStyle w:val="ListParagraph"/>
              <w:numPr>
                <w:ilvl w:val="0"/>
                <w:numId w:val="88"/>
              </w:numPr>
              <w:rPr>
                <w:color w:val="003639" w:themeColor="text1"/>
                <w:lang w:eastAsia="en-AU" w:bidi="en-US"/>
              </w:rPr>
            </w:pPr>
            <w:r w:rsidRPr="00510944">
              <w:rPr>
                <w:color w:val="003639" w:themeColor="text1"/>
                <w:lang w:eastAsia="en-AU" w:bidi="en-US"/>
              </w:rPr>
              <w:t>t</w:t>
            </w:r>
            <w:r w:rsidR="00522A5F" w:rsidRPr="00510944">
              <w:rPr>
                <w:color w:val="003639" w:themeColor="text1"/>
                <w:lang w:eastAsia="en-AU" w:bidi="en-US"/>
              </w:rPr>
              <w:t>echnology based sexual violence.</w:t>
            </w:r>
          </w:p>
          <w:p w14:paraId="7EE3CB29" w14:textId="77777777" w:rsidR="00522A5F" w:rsidRPr="00510944" w:rsidRDefault="00522A5F" w:rsidP="00DF0BD6">
            <w:pPr>
              <w:rPr>
                <w:color w:val="003639" w:themeColor="text1"/>
                <w:lang w:eastAsia="en-AU" w:bidi="en-US"/>
              </w:rPr>
            </w:pPr>
          </w:p>
          <w:p w14:paraId="03F5D02B" w14:textId="77777777" w:rsidR="00522A5F" w:rsidRPr="00510944" w:rsidRDefault="00522A5F" w:rsidP="00DF0BD6">
            <w:pPr>
              <w:rPr>
                <w:color w:val="003639" w:themeColor="text1"/>
              </w:rPr>
            </w:pPr>
            <w:r w:rsidRPr="00510944">
              <w:rPr>
                <w:color w:val="003639" w:themeColor="text1"/>
                <w:lang w:eastAsia="en-AU" w:bidi="en-US"/>
              </w:rPr>
              <w:t>Sexual violence in conflict / war settings is not included.</w:t>
            </w:r>
          </w:p>
        </w:tc>
      </w:tr>
      <w:tr w:rsidR="00510944" w:rsidRPr="00510944" w14:paraId="226E4B5E" w14:textId="77777777" w:rsidTr="006B3855">
        <w:trPr>
          <w:trHeight w:val="418"/>
        </w:trPr>
        <w:tc>
          <w:tcPr>
            <w:tcW w:w="1917" w:type="dxa"/>
          </w:tcPr>
          <w:p w14:paraId="11CAF276" w14:textId="77777777" w:rsidR="00522A5F" w:rsidRPr="00510944" w:rsidRDefault="00522A5F" w:rsidP="006B3855">
            <w:pPr>
              <w:rPr>
                <w:rFonts w:eastAsia="Times New Roman"/>
                <w:b/>
                <w:color w:val="003639" w:themeColor="text1"/>
                <w:szCs w:val="20"/>
                <w:lang w:eastAsia="en-AU" w:bidi="en-US"/>
              </w:rPr>
            </w:pPr>
            <w:r w:rsidRPr="00510944">
              <w:rPr>
                <w:rFonts w:eastAsia="Times New Roman"/>
                <w:b/>
                <w:color w:val="003639" w:themeColor="text1"/>
                <w:szCs w:val="20"/>
                <w:lang w:eastAsia="en-AU" w:bidi="en-US"/>
              </w:rPr>
              <w:t>Prevalence and v</w:t>
            </w:r>
            <w:r w:rsidRPr="00510944">
              <w:rPr>
                <w:b/>
                <w:color w:val="003639" w:themeColor="text1"/>
                <w:lang w:eastAsia="en-AU"/>
              </w:rPr>
              <w:t>ictim survivor &amp; perpetrator profile</w:t>
            </w:r>
          </w:p>
          <w:p w14:paraId="31C44C0B" w14:textId="77777777" w:rsidR="00522A5F" w:rsidRPr="00510944" w:rsidRDefault="00522A5F" w:rsidP="006B3855">
            <w:pPr>
              <w:rPr>
                <w:rFonts w:eastAsia="Times New Roman"/>
                <w:b/>
                <w:color w:val="003639" w:themeColor="text1"/>
                <w:szCs w:val="20"/>
                <w:lang w:eastAsia="en-AU" w:bidi="en-US"/>
              </w:rPr>
            </w:pPr>
          </w:p>
          <w:p w14:paraId="52A61E28" w14:textId="77777777" w:rsidR="00522A5F" w:rsidRPr="00510944" w:rsidRDefault="00522A5F" w:rsidP="006B3855">
            <w:pPr>
              <w:rPr>
                <w:rFonts w:eastAsia="Times New Roman"/>
                <w:b/>
                <w:color w:val="003639" w:themeColor="text1"/>
                <w:szCs w:val="20"/>
                <w:lang w:eastAsia="en-AU" w:bidi="en-US"/>
              </w:rPr>
            </w:pPr>
          </w:p>
        </w:tc>
        <w:tc>
          <w:tcPr>
            <w:tcW w:w="8018" w:type="dxa"/>
          </w:tcPr>
          <w:p w14:paraId="49DFCE68" w14:textId="3D4C5751" w:rsidR="00522A5F" w:rsidRPr="00510944" w:rsidRDefault="00522A5F" w:rsidP="00A06058">
            <w:pPr>
              <w:rPr>
                <w:color w:val="003639" w:themeColor="text1"/>
              </w:rPr>
            </w:pPr>
            <w:r w:rsidRPr="00510944">
              <w:rPr>
                <w:b/>
                <w:bCs/>
                <w:color w:val="003639" w:themeColor="text1"/>
                <w:lang w:eastAsia="en-AU"/>
              </w:rPr>
              <w:t>Across the Australian population</w:t>
            </w:r>
            <w:r w:rsidRPr="00510944">
              <w:rPr>
                <w:color w:val="003639" w:themeColor="text1"/>
                <w:lang w:eastAsia="en-AU"/>
              </w:rPr>
              <w:t xml:space="preserve">, a significant proportion report having experienced sexual assault. In 2021-22, one in five women (20%) and one in 20 men (5.1%) reported experiencing sexual assault since the age of </w:t>
            </w:r>
            <w:proofErr w:type="gramStart"/>
            <w:r w:rsidRPr="00510944">
              <w:rPr>
                <w:color w:val="003639" w:themeColor="text1"/>
                <w:lang w:eastAsia="en-AU"/>
              </w:rPr>
              <w:t>15.</w:t>
            </w:r>
            <w:r w:rsidRPr="00510944">
              <w:rPr>
                <w:noProof/>
                <w:color w:val="003639" w:themeColor="text1"/>
                <w:vertAlign w:val="superscript"/>
                <w:lang w:eastAsia="en-AU"/>
              </w:rPr>
              <w:t>1</w:t>
            </w:r>
            <w:proofErr w:type="gramEnd"/>
          </w:p>
          <w:p w14:paraId="29FE3882" w14:textId="77777777" w:rsidR="00522A5F" w:rsidRPr="00510944" w:rsidRDefault="00522A5F" w:rsidP="00A06058">
            <w:pPr>
              <w:rPr>
                <w:color w:val="003639" w:themeColor="text1"/>
              </w:rPr>
            </w:pPr>
            <w:r w:rsidRPr="00510944">
              <w:rPr>
                <w:color w:val="003639" w:themeColor="text1"/>
              </w:rPr>
              <w:t>2016 Personal Safety Survey (PSS) prevalence data indicates that the likelihood of experiencing sexual assault is highly gendered particularly for women:</w:t>
            </w:r>
          </w:p>
          <w:p w14:paraId="18CAAD11" w14:textId="77777777" w:rsidR="00522A5F" w:rsidRPr="00510944" w:rsidRDefault="00522A5F" w:rsidP="00A06058">
            <w:pPr>
              <w:pStyle w:val="ListParagraph"/>
              <w:numPr>
                <w:ilvl w:val="0"/>
                <w:numId w:val="89"/>
              </w:numPr>
              <w:rPr>
                <w:color w:val="003639" w:themeColor="text1"/>
              </w:rPr>
            </w:pPr>
            <w:r w:rsidRPr="00510944">
              <w:rPr>
                <w:color w:val="003639" w:themeColor="text1"/>
              </w:rPr>
              <w:t xml:space="preserve">Nine out of ten women who reported experiencing sexual assault were assaulted by a male. </w:t>
            </w:r>
          </w:p>
          <w:p w14:paraId="504B939A" w14:textId="3CF9CBB4" w:rsidR="003B1E39" w:rsidRPr="00510944" w:rsidRDefault="00522A5F" w:rsidP="003B1E39">
            <w:pPr>
              <w:pStyle w:val="ListParagraph"/>
              <w:numPr>
                <w:ilvl w:val="0"/>
                <w:numId w:val="89"/>
              </w:numPr>
              <w:rPr>
                <w:color w:val="003639" w:themeColor="text1"/>
              </w:rPr>
            </w:pPr>
            <w:r w:rsidRPr="00510944">
              <w:rPr>
                <w:color w:val="003639" w:themeColor="text1"/>
              </w:rPr>
              <w:t>Men’s experience of sexual assault is less distinctly gendered: in addition to being less likely to experience sexual assault, perpetration is also more nuanced. Just over half of men (57%) who had experienced sexual assault were assaulted by a female and 43% reported assault by a male.</w:t>
            </w:r>
            <w:r w:rsidRPr="00510944">
              <w:rPr>
                <w:noProof/>
                <w:color w:val="003639" w:themeColor="text1"/>
                <w:vertAlign w:val="superscript"/>
              </w:rPr>
              <w:t>2</w:t>
            </w:r>
            <w:r w:rsidRPr="00510944">
              <w:rPr>
                <w:color w:val="003639" w:themeColor="text1"/>
              </w:rPr>
              <w:t xml:space="preserve"> This more mixed picture of male sexual victimisation is replicated in </w:t>
            </w:r>
            <w:proofErr w:type="gramStart"/>
            <w:r w:rsidRPr="00510944">
              <w:rPr>
                <w:color w:val="003639" w:themeColor="text1"/>
              </w:rPr>
              <w:t>other</w:t>
            </w:r>
            <w:proofErr w:type="gramEnd"/>
            <w:r w:rsidRPr="00510944">
              <w:rPr>
                <w:color w:val="003639" w:themeColor="text1"/>
              </w:rPr>
              <w:t xml:space="preserve"> research.</w:t>
            </w:r>
            <w:r w:rsidRPr="00510944">
              <w:rPr>
                <w:noProof/>
                <w:color w:val="003639" w:themeColor="text1"/>
                <w:vertAlign w:val="superscript"/>
              </w:rPr>
              <w:t>3</w:t>
            </w:r>
          </w:p>
          <w:p w14:paraId="22BC0926" w14:textId="77777777" w:rsidR="003B1E39" w:rsidRPr="00510944" w:rsidRDefault="003B1E39" w:rsidP="003B1E39">
            <w:pPr>
              <w:ind w:left="360"/>
              <w:rPr>
                <w:color w:val="003639" w:themeColor="text1"/>
              </w:rPr>
            </w:pPr>
          </w:p>
          <w:p w14:paraId="636AFC38" w14:textId="77777777" w:rsidR="00522A5F" w:rsidRPr="00510944" w:rsidRDefault="00522A5F" w:rsidP="003B1E39">
            <w:pPr>
              <w:rPr>
                <w:color w:val="003639" w:themeColor="text1"/>
                <w:lang w:eastAsia="en-AU" w:bidi="en-US"/>
              </w:rPr>
            </w:pPr>
            <w:r w:rsidRPr="00510944">
              <w:rPr>
                <w:color w:val="003639" w:themeColor="text1"/>
                <w:lang w:eastAsia="en-AU" w:bidi="en-US"/>
              </w:rPr>
              <w:t>The 2016 PSS also indicates that:</w:t>
            </w:r>
          </w:p>
          <w:p w14:paraId="1A5AE4EF" w14:textId="77777777" w:rsidR="00522A5F" w:rsidRPr="00510944" w:rsidRDefault="00522A5F" w:rsidP="00A06058">
            <w:pPr>
              <w:pStyle w:val="ListParagraph"/>
              <w:numPr>
                <w:ilvl w:val="0"/>
                <w:numId w:val="89"/>
              </w:numPr>
              <w:rPr>
                <w:color w:val="003639" w:themeColor="text1"/>
                <w:lang w:eastAsia="en-AU" w:bidi="en-US"/>
              </w:rPr>
            </w:pPr>
            <w:r w:rsidRPr="00510944">
              <w:rPr>
                <w:color w:val="003639" w:themeColor="text1"/>
                <w:lang w:eastAsia="en-AU" w:bidi="en-US"/>
              </w:rPr>
              <w:t>Sexual assault of women is overwhelmingly perpetrated by a man that they know: while current and former intimate partners are the single largest category of known perpetrators (56%), non-partner perpetrators comprise over half (58%) of other known perpetrators, most typically by friends, housemates, acquaintances or neighbours (72% of known, non-partner perpetrators).</w:t>
            </w:r>
          </w:p>
          <w:p w14:paraId="2C0D7094" w14:textId="1A74DA5D" w:rsidR="00522A5F" w:rsidRPr="00510944" w:rsidRDefault="00522A5F" w:rsidP="00A06058">
            <w:pPr>
              <w:pStyle w:val="ListParagraph"/>
              <w:numPr>
                <w:ilvl w:val="0"/>
                <w:numId w:val="89"/>
              </w:numPr>
              <w:rPr>
                <w:color w:val="003639" w:themeColor="text1"/>
                <w:lang w:eastAsia="en-AU" w:bidi="en-US"/>
              </w:rPr>
            </w:pPr>
            <w:r w:rsidRPr="00510944">
              <w:rPr>
                <w:color w:val="003639" w:themeColor="text1"/>
                <w:lang w:eastAsia="en-AU" w:bidi="en-US"/>
              </w:rPr>
              <w:t>70% of the most recent incident of sexual assault experienced by women occurred in the victim’s home (39.5%) the perpetrators home (17.1%) or at someone else’s home (13.2%)</w:t>
            </w:r>
            <w:proofErr w:type="gramStart"/>
            <w:r w:rsidR="003B1E39" w:rsidRPr="00510944">
              <w:rPr>
                <w:color w:val="003639" w:themeColor="text1"/>
                <w:lang w:eastAsia="en-AU" w:bidi="en-US"/>
              </w:rPr>
              <w:t>.</w:t>
            </w:r>
            <w:r w:rsidRPr="00510944">
              <w:rPr>
                <w:noProof/>
                <w:color w:val="003639" w:themeColor="text1"/>
                <w:vertAlign w:val="superscript"/>
                <w:lang w:eastAsia="en-AU" w:bidi="en-US"/>
              </w:rPr>
              <w:t>2</w:t>
            </w:r>
            <w:proofErr w:type="gramEnd"/>
          </w:p>
          <w:p w14:paraId="4FD00256" w14:textId="77777777" w:rsidR="00521B3B" w:rsidRPr="00510944" w:rsidRDefault="00521B3B" w:rsidP="00521B3B">
            <w:pPr>
              <w:ind w:left="360"/>
              <w:rPr>
                <w:color w:val="003639" w:themeColor="text1"/>
                <w:lang w:eastAsia="en-AU" w:bidi="en-US"/>
              </w:rPr>
            </w:pPr>
          </w:p>
          <w:p w14:paraId="16066E56" w14:textId="77777777" w:rsidR="00F85BF3" w:rsidRPr="00510944" w:rsidRDefault="00522A5F" w:rsidP="00F85BF3">
            <w:pPr>
              <w:rPr>
                <w:color w:val="003639" w:themeColor="text1"/>
                <w:lang w:eastAsia="en-AU" w:bidi="en-US"/>
              </w:rPr>
            </w:pPr>
            <w:r w:rsidRPr="00510944">
              <w:rPr>
                <w:color w:val="003639" w:themeColor="text1"/>
                <w:lang w:eastAsia="en-AU" w:bidi="en-US"/>
              </w:rPr>
              <w:lastRenderedPageBreak/>
              <w:t>Research indicates that some populations experience higher rates of sexual assault compared to national estimates:</w:t>
            </w:r>
          </w:p>
          <w:p w14:paraId="5BEBE129" w14:textId="77777777" w:rsidR="00F85BF3" w:rsidRPr="00510944" w:rsidRDefault="00F85BF3" w:rsidP="00F85BF3">
            <w:pPr>
              <w:rPr>
                <w:b/>
                <w:bCs/>
                <w:color w:val="003639" w:themeColor="text1"/>
              </w:rPr>
            </w:pPr>
          </w:p>
          <w:p w14:paraId="3A10BEE8" w14:textId="76192A2D" w:rsidR="00522A5F" w:rsidRPr="00510944" w:rsidRDefault="00522A5F" w:rsidP="00F85BF3">
            <w:pPr>
              <w:rPr>
                <w:color w:val="003639" w:themeColor="text1"/>
                <w:lang w:eastAsia="en-AU" w:bidi="en-US"/>
              </w:rPr>
            </w:pPr>
            <w:r w:rsidRPr="00510944">
              <w:rPr>
                <w:b/>
                <w:bCs/>
                <w:color w:val="003639" w:themeColor="text1"/>
              </w:rPr>
              <w:t xml:space="preserve">Young women </w:t>
            </w:r>
            <w:r w:rsidRPr="00510944">
              <w:rPr>
                <w:color w:val="003639" w:themeColor="text1"/>
              </w:rPr>
              <w:t>aged 18-24 are more likely to experience sexual assault compared to older women.</w:t>
            </w:r>
            <w:r w:rsidRPr="00510944">
              <w:rPr>
                <w:noProof/>
                <w:color w:val="003639" w:themeColor="text1"/>
                <w:vertAlign w:val="superscript"/>
              </w:rPr>
              <w:t>2,4-6</w:t>
            </w:r>
          </w:p>
          <w:p w14:paraId="2F789ECD" w14:textId="77777777" w:rsidR="00522A5F" w:rsidRPr="00510944" w:rsidRDefault="00522A5F" w:rsidP="00F85BF3">
            <w:pPr>
              <w:rPr>
                <w:color w:val="003639" w:themeColor="text1"/>
              </w:rPr>
            </w:pPr>
          </w:p>
          <w:p w14:paraId="4170F41E" w14:textId="493DFC7E" w:rsidR="00522A5F" w:rsidRPr="00510944" w:rsidRDefault="00522A5F" w:rsidP="00F85BF3">
            <w:pPr>
              <w:rPr>
                <w:noProof/>
                <w:color w:val="003639" w:themeColor="text1"/>
                <w:vertAlign w:val="superscript"/>
              </w:rPr>
            </w:pPr>
            <w:r w:rsidRPr="00510944">
              <w:rPr>
                <w:color w:val="003639" w:themeColor="text1"/>
              </w:rPr>
              <w:t xml:space="preserve">Homeless young people, particularly young women have also been found to report high rates of sexual victimisation, </w:t>
            </w:r>
            <w:proofErr w:type="gramStart"/>
            <w:r w:rsidRPr="00510944">
              <w:rPr>
                <w:color w:val="003639" w:themeColor="text1"/>
              </w:rPr>
              <w:t>These</w:t>
            </w:r>
            <w:proofErr w:type="gramEnd"/>
            <w:r w:rsidRPr="00510944">
              <w:rPr>
                <w:color w:val="003639" w:themeColor="text1"/>
              </w:rPr>
              <w:t xml:space="preserve"> experiences often occur within a broader context of sexual risk, such as engaging in survival sex and street-based sex work.</w:t>
            </w:r>
            <w:r w:rsidRPr="00510944">
              <w:rPr>
                <w:noProof/>
                <w:color w:val="003639" w:themeColor="text1"/>
                <w:vertAlign w:val="superscript"/>
              </w:rPr>
              <w:t>7</w:t>
            </w:r>
          </w:p>
          <w:p w14:paraId="514E707B" w14:textId="77777777" w:rsidR="00602610" w:rsidRPr="00510944" w:rsidRDefault="00602610" w:rsidP="00F85BF3">
            <w:pPr>
              <w:rPr>
                <w:color w:val="003639" w:themeColor="text1"/>
                <w:lang w:eastAsia="en-AU" w:bidi="en-US"/>
              </w:rPr>
            </w:pPr>
          </w:p>
          <w:p w14:paraId="2551EDFB" w14:textId="1DFCB72F" w:rsidR="00522A5F" w:rsidRPr="00510944" w:rsidRDefault="00522A5F" w:rsidP="00F85BF3">
            <w:pPr>
              <w:rPr>
                <w:noProof/>
                <w:color w:val="003639" w:themeColor="text1"/>
                <w:vertAlign w:val="superscript"/>
              </w:rPr>
            </w:pPr>
            <w:r w:rsidRPr="00510944">
              <w:rPr>
                <w:b/>
                <w:bCs/>
                <w:color w:val="003639" w:themeColor="text1"/>
              </w:rPr>
              <w:t xml:space="preserve">Higher education students: </w:t>
            </w:r>
            <w:r w:rsidRPr="00510944">
              <w:rPr>
                <w:color w:val="003639" w:themeColor="text1"/>
              </w:rPr>
              <w:t>Systematic reviews of sexual assault on US college campuses suggest prevalence of 24%-36% women reporting sexual assault (with 8%-16% reporting rape or attempted rape).</w:t>
            </w:r>
            <w:r w:rsidRPr="00510944">
              <w:rPr>
                <w:noProof/>
                <w:color w:val="003639" w:themeColor="text1"/>
                <w:vertAlign w:val="superscript"/>
              </w:rPr>
              <w:t>8,9</w:t>
            </w:r>
            <w:r w:rsidRPr="00510944">
              <w:rPr>
                <w:color w:val="003639" w:themeColor="text1"/>
              </w:rPr>
              <w:t xml:space="preserve"> The 2021 Australian National Student Safety Survey also examined the prevalence of sexual harassment and sexual violence among university students. This survey found that 1) a third of students (30.6%) had experienced sexual assault in their lifetime and 2) the most likely populations to have experienced sexual assault were: women, transgender students and students identifying as non-binary or another gender.</w:t>
            </w:r>
            <w:r w:rsidRPr="00510944">
              <w:rPr>
                <w:noProof/>
                <w:color w:val="003639" w:themeColor="text1"/>
                <w:vertAlign w:val="superscript"/>
              </w:rPr>
              <w:t>10</w:t>
            </w:r>
          </w:p>
          <w:p w14:paraId="0BE54FE6" w14:textId="77777777" w:rsidR="006512E5" w:rsidRPr="00510944" w:rsidRDefault="006512E5" w:rsidP="00F85BF3">
            <w:pPr>
              <w:rPr>
                <w:color w:val="003639" w:themeColor="text1"/>
              </w:rPr>
            </w:pPr>
          </w:p>
          <w:p w14:paraId="532369CF" w14:textId="77777777" w:rsidR="00522A5F" w:rsidRPr="00510944" w:rsidRDefault="00522A5F" w:rsidP="006512E5">
            <w:pPr>
              <w:rPr>
                <w:b/>
                <w:bCs/>
                <w:color w:val="003639" w:themeColor="text1"/>
              </w:rPr>
            </w:pPr>
            <w:r w:rsidRPr="00510944">
              <w:rPr>
                <w:b/>
                <w:bCs/>
                <w:color w:val="003639" w:themeColor="text1"/>
                <w:lang w:eastAsia="en-AU" w:bidi="en-US"/>
              </w:rPr>
              <w:t xml:space="preserve">Defence Force Personnel </w:t>
            </w:r>
            <w:r w:rsidRPr="00510944">
              <w:rPr>
                <w:color w:val="003639" w:themeColor="text1"/>
                <w:lang w:eastAsia="en-AU" w:bidi="en-US"/>
              </w:rPr>
              <w:t xml:space="preserve">experience high rates of sexual assault however most studies are carried out in the USA with </w:t>
            </w:r>
            <w:r w:rsidRPr="00510944">
              <w:rPr>
                <w:color w:val="003639" w:themeColor="text1"/>
              </w:rPr>
              <w:t xml:space="preserve">prevalence rates varying across these studies. </w:t>
            </w:r>
          </w:p>
          <w:p w14:paraId="109F09D0" w14:textId="48D117B7" w:rsidR="00522A5F" w:rsidRPr="00510944" w:rsidRDefault="00522A5F" w:rsidP="006512E5">
            <w:pPr>
              <w:pStyle w:val="ListParagraph"/>
              <w:numPr>
                <w:ilvl w:val="0"/>
                <w:numId w:val="90"/>
              </w:numPr>
              <w:rPr>
                <w:color w:val="003639" w:themeColor="text1"/>
              </w:rPr>
            </w:pPr>
            <w:r w:rsidRPr="00510944">
              <w:rPr>
                <w:color w:val="003639" w:themeColor="text1"/>
              </w:rPr>
              <w:t>A 2018 meta-analysis of 69 studies found that 23.6% of women (current and veterans) reported an experience of sexual assault (compared to 1.9% of men)</w:t>
            </w:r>
            <w:proofErr w:type="gramStart"/>
            <w:r w:rsidRPr="00510944">
              <w:rPr>
                <w:color w:val="003639" w:themeColor="text1"/>
              </w:rPr>
              <w:t>.</w:t>
            </w:r>
            <w:r w:rsidRPr="00510944">
              <w:rPr>
                <w:noProof/>
                <w:color w:val="003639" w:themeColor="text1"/>
                <w:vertAlign w:val="superscript"/>
              </w:rPr>
              <w:t>11</w:t>
            </w:r>
            <w:proofErr w:type="gramEnd"/>
          </w:p>
          <w:p w14:paraId="40481B59" w14:textId="085D964C" w:rsidR="00522A5F" w:rsidRPr="00510944" w:rsidRDefault="00522A5F" w:rsidP="006512E5">
            <w:pPr>
              <w:pStyle w:val="ListParagraph"/>
              <w:numPr>
                <w:ilvl w:val="0"/>
                <w:numId w:val="90"/>
              </w:numPr>
              <w:rPr>
                <w:color w:val="003639" w:themeColor="text1"/>
              </w:rPr>
            </w:pPr>
            <w:r w:rsidRPr="00510944">
              <w:rPr>
                <w:color w:val="003639" w:themeColor="text1"/>
              </w:rPr>
              <w:t>US Defence force monitoring of sexual violence reported that 6.2% of active-duty women had experienced sexual assault in the past year.</w:t>
            </w:r>
            <w:r w:rsidRPr="00510944">
              <w:rPr>
                <w:noProof/>
                <w:color w:val="003639" w:themeColor="text1"/>
                <w:vertAlign w:val="superscript"/>
              </w:rPr>
              <w:t>12</w:t>
            </w:r>
          </w:p>
          <w:p w14:paraId="294DF44F" w14:textId="2B7D6A9B" w:rsidR="00522A5F" w:rsidRPr="00510944" w:rsidRDefault="00B02A49" w:rsidP="006512E5">
            <w:pPr>
              <w:pStyle w:val="ListParagraph"/>
              <w:numPr>
                <w:ilvl w:val="0"/>
                <w:numId w:val="90"/>
              </w:numPr>
              <w:rPr>
                <w:color w:val="003639" w:themeColor="text1"/>
                <w:lang w:eastAsia="ja-JP"/>
              </w:rPr>
            </w:pPr>
            <w:r w:rsidRPr="00510944">
              <w:rPr>
                <w:i/>
                <w:iCs/>
                <w:color w:val="003639" w:themeColor="text1"/>
                <w:lang w:eastAsia="ja-JP"/>
              </w:rPr>
              <w:t>The Canadian Forces Mental Health Survey</w:t>
            </w:r>
            <w:r w:rsidR="00522A5F" w:rsidRPr="00510944">
              <w:rPr>
                <w:color w:val="003639" w:themeColor="text1"/>
                <w:lang w:eastAsia="ja-JP"/>
              </w:rPr>
              <w:t xml:space="preserve"> found that sexual assault was more prevalent among women (15.5%) than men (0.8%) respectively)</w:t>
            </w:r>
            <w:proofErr w:type="gramStart"/>
            <w:r w:rsidR="00522A5F" w:rsidRPr="00510944">
              <w:rPr>
                <w:color w:val="003639" w:themeColor="text1"/>
                <w:lang w:eastAsia="ja-JP"/>
              </w:rPr>
              <w:t>.</w:t>
            </w:r>
            <w:r w:rsidR="00522A5F" w:rsidRPr="00510944">
              <w:rPr>
                <w:noProof/>
                <w:color w:val="003639" w:themeColor="text1"/>
                <w:vertAlign w:val="superscript"/>
                <w:lang w:eastAsia="ja-JP"/>
              </w:rPr>
              <w:t>13</w:t>
            </w:r>
            <w:proofErr w:type="gramEnd"/>
          </w:p>
          <w:p w14:paraId="2EA23F69" w14:textId="0F00A774" w:rsidR="00522A5F" w:rsidRPr="00510944" w:rsidRDefault="00522A5F" w:rsidP="006512E5">
            <w:pPr>
              <w:pStyle w:val="ListParagraph"/>
              <w:numPr>
                <w:ilvl w:val="0"/>
                <w:numId w:val="90"/>
              </w:numPr>
              <w:rPr>
                <w:color w:val="003639" w:themeColor="text1"/>
              </w:rPr>
            </w:pPr>
            <w:r w:rsidRPr="00510944">
              <w:rPr>
                <w:color w:val="003639" w:themeColor="text1"/>
              </w:rPr>
              <w:t xml:space="preserve">In a US survey, representative of </w:t>
            </w:r>
            <w:r w:rsidR="00767D37" w:rsidRPr="00510944">
              <w:rPr>
                <w:color w:val="003639" w:themeColor="text1"/>
              </w:rPr>
              <w:t>active-duty</w:t>
            </w:r>
            <w:r w:rsidRPr="00510944">
              <w:rPr>
                <w:color w:val="003639" w:themeColor="text1"/>
              </w:rPr>
              <w:t xml:space="preserve"> Service Members regarding their sexual assault experiences in the past year, the majority who had experienced sexual assault were assaulted by a friend or acquaintance and one third had been assaulted by more than one person. Where the relationship was not specified, 91% of respondents stated the perpetrator was a military member and almost three quarters (73%) reported that the perpetrator was of a higher military rank than them (compared to 23% being the same rank). Almost a third (32%) reported being perpetrated against by more than one person.</w:t>
            </w:r>
            <w:r w:rsidRPr="00510944">
              <w:rPr>
                <w:noProof/>
                <w:color w:val="003639" w:themeColor="text1"/>
                <w:vertAlign w:val="superscript"/>
              </w:rPr>
              <w:t>14</w:t>
            </w:r>
          </w:p>
          <w:p w14:paraId="11AB4226" w14:textId="77777777" w:rsidR="006512E5" w:rsidRPr="00510944" w:rsidRDefault="006512E5" w:rsidP="006512E5">
            <w:pPr>
              <w:pStyle w:val="ListBullet"/>
              <w:numPr>
                <w:ilvl w:val="0"/>
                <w:numId w:val="0"/>
              </w:numPr>
              <w:suppressAutoHyphens/>
              <w:spacing w:before="0" w:line="276" w:lineRule="auto"/>
              <w:ind w:left="425" w:hanging="425"/>
              <w:jc w:val="both"/>
              <w:rPr>
                <w:rFonts w:ascii="Arial" w:hAnsi="Arial" w:cs="Arial"/>
                <w:color w:val="003639" w:themeColor="text1"/>
                <w:sz w:val="20"/>
                <w:szCs w:val="20"/>
              </w:rPr>
            </w:pPr>
          </w:p>
          <w:p w14:paraId="21676847" w14:textId="3E026787" w:rsidR="00522A5F" w:rsidRPr="00510944" w:rsidRDefault="00522A5F" w:rsidP="00FC39BE">
            <w:pPr>
              <w:rPr>
                <w:noProof/>
                <w:color w:val="003639" w:themeColor="text1"/>
                <w:vertAlign w:val="superscript"/>
              </w:rPr>
            </w:pPr>
            <w:r w:rsidRPr="00510944">
              <w:rPr>
                <w:b/>
                <w:bCs/>
                <w:color w:val="003639" w:themeColor="text1"/>
                <w:lang w:eastAsia="en-AU"/>
              </w:rPr>
              <w:t xml:space="preserve">Older Women: </w:t>
            </w:r>
            <w:r w:rsidRPr="00510944">
              <w:rPr>
                <w:color w:val="003639" w:themeColor="text1"/>
                <w:lang w:eastAsia="en-AU"/>
              </w:rPr>
              <w:t>Whilst sexual assault is not one of the most significant forms of “elder abuse” reported by older Australians</w:t>
            </w:r>
            <w:r w:rsidRPr="00510944">
              <w:rPr>
                <w:b/>
                <w:bCs/>
                <w:color w:val="003639" w:themeColor="text1"/>
                <w:lang w:eastAsia="en-AU"/>
              </w:rPr>
              <w:t xml:space="preserve">, </w:t>
            </w:r>
            <w:r w:rsidRPr="00510944">
              <w:rPr>
                <w:color w:val="003639" w:themeColor="text1"/>
                <w:lang w:eastAsia="en-AU"/>
              </w:rPr>
              <w:t xml:space="preserve">perpetration patterns are </w:t>
            </w:r>
            <w:proofErr w:type="gramStart"/>
            <w:r w:rsidRPr="00510944">
              <w:rPr>
                <w:color w:val="003639" w:themeColor="text1"/>
                <w:lang w:eastAsia="en-AU"/>
              </w:rPr>
              <w:t>similar to</w:t>
            </w:r>
            <w:proofErr w:type="gramEnd"/>
            <w:r w:rsidRPr="00510944">
              <w:rPr>
                <w:color w:val="003639" w:themeColor="text1"/>
                <w:lang w:eastAsia="en-AU"/>
              </w:rPr>
              <w:t xml:space="preserve"> those in the general population with women being the majority of victims and </w:t>
            </w:r>
            <w:r w:rsidRPr="00510944">
              <w:rPr>
                <w:color w:val="003639" w:themeColor="text1"/>
              </w:rPr>
              <w:t>partners, friends, acquaintances and neighbours being the most common perpetrators.</w:t>
            </w:r>
            <w:r w:rsidRPr="00510944">
              <w:rPr>
                <w:noProof/>
                <w:color w:val="003639" w:themeColor="text1"/>
                <w:vertAlign w:val="superscript"/>
              </w:rPr>
              <w:t>15</w:t>
            </w:r>
            <w:r w:rsidRPr="00510944">
              <w:rPr>
                <w:color w:val="003639" w:themeColor="text1"/>
              </w:rPr>
              <w:t xml:space="preserve"> A review of research focusing on sexual assault in </w:t>
            </w:r>
            <w:r w:rsidRPr="00510944">
              <w:rPr>
                <w:b/>
                <w:bCs/>
                <w:color w:val="003639" w:themeColor="text1"/>
              </w:rPr>
              <w:t xml:space="preserve">nursing </w:t>
            </w:r>
            <w:r w:rsidRPr="00510944">
              <w:rPr>
                <w:b/>
                <w:bCs/>
                <w:color w:val="003639" w:themeColor="text1"/>
              </w:rPr>
              <w:lastRenderedPageBreak/>
              <w:t>homes</w:t>
            </w:r>
            <w:r w:rsidRPr="00510944">
              <w:rPr>
                <w:color w:val="003639" w:themeColor="text1"/>
              </w:rPr>
              <w:t xml:space="preserve"> found that sexual assault was the least reported type of assault. Characteristics of sexual victims were being female, Caucasian, widowed and having a cognitive or physical impairments.</w:t>
            </w:r>
            <w:r w:rsidRPr="00510944">
              <w:rPr>
                <w:noProof/>
                <w:color w:val="003639" w:themeColor="text1"/>
                <w:vertAlign w:val="superscript"/>
              </w:rPr>
              <w:t>16</w:t>
            </w:r>
          </w:p>
          <w:p w14:paraId="5AB21AB8" w14:textId="77777777" w:rsidR="00FC39BE" w:rsidRPr="00510944" w:rsidRDefault="00FC39BE" w:rsidP="00FC39BE">
            <w:pPr>
              <w:rPr>
                <w:color w:val="003639" w:themeColor="text1"/>
              </w:rPr>
            </w:pPr>
          </w:p>
          <w:p w14:paraId="17182A10" w14:textId="77777777" w:rsidR="00522A5F" w:rsidRPr="00510944" w:rsidRDefault="00522A5F" w:rsidP="00FC39BE">
            <w:pPr>
              <w:rPr>
                <w:color w:val="003639" w:themeColor="text1"/>
              </w:rPr>
            </w:pPr>
            <w:r w:rsidRPr="00510944">
              <w:rPr>
                <w:b/>
                <w:bCs/>
                <w:color w:val="003639" w:themeColor="text1"/>
              </w:rPr>
              <w:t>People with disability</w:t>
            </w:r>
            <w:r w:rsidRPr="00510944">
              <w:rPr>
                <w:color w:val="003639" w:themeColor="text1"/>
              </w:rPr>
              <w:t xml:space="preserve"> are more likely to experience sexual assault, compared to people without disability. A meta-analysis of studies published between 1978-2018 found that:</w:t>
            </w:r>
          </w:p>
          <w:p w14:paraId="1512591E" w14:textId="00A45B08" w:rsidR="00522A5F" w:rsidRPr="00510944" w:rsidRDefault="00522A5F" w:rsidP="00FC39BE">
            <w:pPr>
              <w:pStyle w:val="ListParagraph"/>
              <w:numPr>
                <w:ilvl w:val="0"/>
                <w:numId w:val="91"/>
              </w:numPr>
              <w:rPr>
                <w:color w:val="003639" w:themeColor="text1"/>
              </w:rPr>
            </w:pPr>
            <w:r w:rsidRPr="00510944">
              <w:rPr>
                <w:color w:val="003639" w:themeColor="text1"/>
              </w:rPr>
              <w:t>Overall</w:t>
            </w:r>
            <w:r w:rsidR="008D1422" w:rsidRPr="00510944">
              <w:rPr>
                <w:color w:val="003639" w:themeColor="text1"/>
              </w:rPr>
              <w:t>,</w:t>
            </w:r>
            <w:r w:rsidRPr="00510944">
              <w:rPr>
                <w:color w:val="003639" w:themeColor="text1"/>
              </w:rPr>
              <w:t xml:space="preserve"> people with disability were twice as likely to experience sexual assault than the general population. </w:t>
            </w:r>
          </w:p>
          <w:p w14:paraId="7BF19B4D" w14:textId="6DD35E94" w:rsidR="00522A5F" w:rsidRPr="00510944" w:rsidRDefault="00522A5F" w:rsidP="00FC39BE">
            <w:pPr>
              <w:pStyle w:val="ListParagraph"/>
              <w:numPr>
                <w:ilvl w:val="0"/>
                <w:numId w:val="91"/>
              </w:numPr>
              <w:rPr>
                <w:color w:val="003639" w:themeColor="text1"/>
              </w:rPr>
            </w:pPr>
            <w:r w:rsidRPr="00510944">
              <w:rPr>
                <w:color w:val="003639" w:themeColor="text1"/>
              </w:rPr>
              <w:t>Intellectual, physical, sensory and mixed types of disability were all associated with increase in sexual violence victimisation, with the highest risk related to sensory impairment.</w:t>
            </w:r>
            <w:r w:rsidRPr="00510944">
              <w:rPr>
                <w:noProof/>
                <w:color w:val="003639" w:themeColor="text1"/>
                <w:vertAlign w:val="superscript"/>
              </w:rPr>
              <w:t>17</w:t>
            </w:r>
          </w:p>
          <w:p w14:paraId="7EDFDD25" w14:textId="56C01A93" w:rsidR="00522A5F" w:rsidRPr="00510944" w:rsidRDefault="00522A5F" w:rsidP="00FC39BE">
            <w:pPr>
              <w:rPr>
                <w:noProof/>
                <w:color w:val="003639" w:themeColor="text1"/>
                <w:vertAlign w:val="superscript"/>
              </w:rPr>
            </w:pPr>
            <w:r w:rsidRPr="00510944">
              <w:rPr>
                <w:color w:val="003639" w:themeColor="text1"/>
              </w:rPr>
              <w:t xml:space="preserve">In other </w:t>
            </w:r>
            <w:r w:rsidR="00FC39BE" w:rsidRPr="00510944">
              <w:rPr>
                <w:color w:val="003639" w:themeColor="text1"/>
              </w:rPr>
              <w:t>studies,</w:t>
            </w:r>
            <w:r w:rsidRPr="00510944">
              <w:rPr>
                <w:color w:val="003639" w:themeColor="text1"/>
              </w:rPr>
              <w:t xml:space="preserve"> sensory impairments and psychological or cognitive impairments are also indicated to be the most common type of disability associated with sexual assault.</w:t>
            </w:r>
            <w:r w:rsidRPr="00510944">
              <w:rPr>
                <w:noProof/>
                <w:color w:val="003639" w:themeColor="text1"/>
                <w:vertAlign w:val="superscript"/>
              </w:rPr>
              <w:t>17-19</w:t>
            </w:r>
          </w:p>
          <w:p w14:paraId="7E2D9527" w14:textId="77777777" w:rsidR="00674DDB" w:rsidRPr="00510944" w:rsidRDefault="00674DDB" w:rsidP="00FC39BE">
            <w:pPr>
              <w:rPr>
                <w:b/>
                <w:bCs/>
                <w:color w:val="003639" w:themeColor="text1"/>
              </w:rPr>
            </w:pPr>
          </w:p>
          <w:p w14:paraId="6D33BE2A" w14:textId="77777777" w:rsidR="00522A5F" w:rsidRPr="00510944" w:rsidRDefault="00522A5F" w:rsidP="00F25665">
            <w:pPr>
              <w:rPr>
                <w:color w:val="003639" w:themeColor="text1"/>
              </w:rPr>
            </w:pPr>
            <w:r w:rsidRPr="00510944">
              <w:rPr>
                <w:b/>
                <w:bCs/>
                <w:color w:val="003639" w:themeColor="text1"/>
              </w:rPr>
              <w:t>Women with disability</w:t>
            </w:r>
            <w:r w:rsidRPr="00510944">
              <w:rPr>
                <w:color w:val="003639" w:themeColor="text1"/>
              </w:rPr>
              <w:t xml:space="preserve"> are significantly more likely to:</w:t>
            </w:r>
          </w:p>
          <w:p w14:paraId="7513367C" w14:textId="64DCB6AB" w:rsidR="00522A5F" w:rsidRPr="00510944" w:rsidRDefault="008D1163" w:rsidP="00F25665">
            <w:pPr>
              <w:pStyle w:val="ListParagraph"/>
              <w:numPr>
                <w:ilvl w:val="0"/>
                <w:numId w:val="92"/>
              </w:numPr>
              <w:rPr>
                <w:color w:val="003639" w:themeColor="text1"/>
              </w:rPr>
            </w:pPr>
            <w:r w:rsidRPr="00510944">
              <w:rPr>
                <w:color w:val="003639" w:themeColor="text1"/>
              </w:rPr>
              <w:t>e</w:t>
            </w:r>
            <w:r w:rsidR="00522A5F" w:rsidRPr="00510944">
              <w:rPr>
                <w:color w:val="003639" w:themeColor="text1"/>
              </w:rPr>
              <w:t>xperience sexual assault compared to 1) women without disability and 2) men with disability</w:t>
            </w:r>
            <w:r w:rsidR="00522A5F" w:rsidRPr="00510944">
              <w:rPr>
                <w:noProof/>
                <w:color w:val="003639" w:themeColor="text1"/>
                <w:vertAlign w:val="superscript"/>
              </w:rPr>
              <w:t>17-22</w:t>
            </w:r>
          </w:p>
          <w:p w14:paraId="7D1E1C2B" w14:textId="00C7B081" w:rsidR="00522A5F" w:rsidRPr="00510944" w:rsidRDefault="008D1163" w:rsidP="00F25665">
            <w:pPr>
              <w:pStyle w:val="ListParagraph"/>
              <w:numPr>
                <w:ilvl w:val="0"/>
                <w:numId w:val="92"/>
              </w:numPr>
              <w:rPr>
                <w:rFonts w:cs="Times New Roman"/>
                <w:color w:val="003639" w:themeColor="text1"/>
              </w:rPr>
            </w:pPr>
            <w:r w:rsidRPr="00510944">
              <w:rPr>
                <w:color w:val="003639" w:themeColor="text1"/>
                <w:lang w:bidi="en-US"/>
              </w:rPr>
              <w:t>t</w:t>
            </w:r>
            <w:r w:rsidR="00522A5F" w:rsidRPr="00510944">
              <w:rPr>
                <w:color w:val="003639" w:themeColor="text1"/>
                <w:lang w:bidi="en-US"/>
              </w:rPr>
              <w:t>o be assaulted by</w:t>
            </w:r>
            <w:r w:rsidR="00522A5F" w:rsidRPr="00510944">
              <w:rPr>
                <w:b/>
                <w:bCs/>
                <w:color w:val="003639" w:themeColor="text1"/>
                <w:lang w:bidi="en-US"/>
              </w:rPr>
              <w:t xml:space="preserve"> </w:t>
            </w:r>
            <w:r w:rsidR="00522A5F" w:rsidRPr="00510944">
              <w:rPr>
                <w:color w:val="003639" w:themeColor="text1"/>
                <w:lang w:bidi="en-US"/>
              </w:rPr>
              <w:t>strangers than women without disabilities (41.5% compared to 28.2%)</w:t>
            </w:r>
            <w:proofErr w:type="gramStart"/>
            <w:r w:rsidRPr="00510944">
              <w:rPr>
                <w:color w:val="003639" w:themeColor="text1"/>
                <w:lang w:bidi="en-US"/>
              </w:rPr>
              <w:t>.</w:t>
            </w:r>
            <w:r w:rsidR="00522A5F" w:rsidRPr="00510944">
              <w:rPr>
                <w:noProof/>
                <w:color w:val="003639" w:themeColor="text1"/>
                <w:vertAlign w:val="superscript"/>
                <w:lang w:bidi="en-US"/>
              </w:rPr>
              <w:t>23</w:t>
            </w:r>
            <w:proofErr w:type="gramEnd"/>
          </w:p>
          <w:p w14:paraId="733F0FDD" w14:textId="77777777" w:rsidR="00F25665" w:rsidRPr="00510944" w:rsidRDefault="00F25665" w:rsidP="00F25665">
            <w:pPr>
              <w:pStyle w:val="TableText"/>
              <w:keepNext w:val="0"/>
              <w:jc w:val="both"/>
              <w:rPr>
                <w:color w:val="003639" w:themeColor="text1"/>
              </w:rPr>
            </w:pPr>
          </w:p>
          <w:p w14:paraId="072B97D5" w14:textId="7146FEA1" w:rsidR="00522A5F" w:rsidRPr="00510944" w:rsidRDefault="00522A5F" w:rsidP="0043619D">
            <w:pPr>
              <w:rPr>
                <w:noProof/>
                <w:color w:val="003639" w:themeColor="text1"/>
                <w:vertAlign w:val="superscript"/>
              </w:rPr>
            </w:pPr>
            <w:r w:rsidRPr="00510944">
              <w:rPr>
                <w:b/>
                <w:bCs/>
                <w:color w:val="003639" w:themeColor="text1"/>
              </w:rPr>
              <w:t xml:space="preserve">People with severe mental illness </w:t>
            </w:r>
            <w:r w:rsidRPr="00510944">
              <w:rPr>
                <w:color w:val="003639" w:themeColor="text1"/>
              </w:rPr>
              <w:t>have been found to be</w:t>
            </w:r>
            <w:r w:rsidRPr="00510944">
              <w:rPr>
                <w:b/>
                <w:bCs/>
                <w:color w:val="003639" w:themeColor="text1"/>
              </w:rPr>
              <w:t xml:space="preserve"> </w:t>
            </w:r>
            <w:r w:rsidRPr="00510944">
              <w:rPr>
                <w:color w:val="003639" w:themeColor="text1"/>
              </w:rPr>
              <w:t>six times more likely to be sexually victimized than those in the general population. Women with severe mental illness reported a median prevalence rate of 9.9% and men 3.1%</w:t>
            </w:r>
            <w:proofErr w:type="gramStart"/>
            <w:r w:rsidR="0043619D" w:rsidRPr="00510944">
              <w:rPr>
                <w:color w:val="003639" w:themeColor="text1"/>
              </w:rPr>
              <w:t>.</w:t>
            </w:r>
            <w:r w:rsidRPr="00510944">
              <w:rPr>
                <w:noProof/>
                <w:color w:val="003639" w:themeColor="text1"/>
                <w:vertAlign w:val="superscript"/>
              </w:rPr>
              <w:t>24</w:t>
            </w:r>
            <w:proofErr w:type="gramEnd"/>
          </w:p>
          <w:p w14:paraId="5554354F" w14:textId="77777777" w:rsidR="0043619D" w:rsidRPr="00510944" w:rsidRDefault="0043619D" w:rsidP="0043619D">
            <w:pPr>
              <w:rPr>
                <w:color w:val="003639" w:themeColor="text1"/>
              </w:rPr>
            </w:pPr>
          </w:p>
          <w:p w14:paraId="77C5BF41" w14:textId="4C91ADA9" w:rsidR="0049452E" w:rsidRPr="00510944" w:rsidRDefault="00522A5F" w:rsidP="0043619D">
            <w:pPr>
              <w:rPr>
                <w:color w:val="003639" w:themeColor="text1"/>
              </w:rPr>
            </w:pPr>
            <w:r w:rsidRPr="00510944">
              <w:rPr>
                <w:b/>
                <w:bCs/>
                <w:color w:val="003639" w:themeColor="text1"/>
              </w:rPr>
              <w:t>LGBTIQ+ people</w:t>
            </w:r>
            <w:r w:rsidRPr="00510944">
              <w:rPr>
                <w:color w:val="003639" w:themeColor="text1"/>
              </w:rPr>
              <w:t xml:space="preserve"> experience higher rates of sexual assault compared to those who identify as heterosexual and cis gender. A consistent finding is that women identifying as bisexual or queer report higher rates of sexual assault overall</w:t>
            </w:r>
            <w:r w:rsidR="0049452E" w:rsidRPr="00510944">
              <w:rPr>
                <w:color w:val="003639" w:themeColor="text1"/>
              </w:rPr>
              <w:t>.</w:t>
            </w:r>
            <w:r w:rsidRPr="00510944">
              <w:rPr>
                <w:noProof/>
                <w:color w:val="003639" w:themeColor="text1"/>
                <w:vertAlign w:val="superscript"/>
              </w:rPr>
              <w:t>25</w:t>
            </w:r>
          </w:p>
          <w:p w14:paraId="5B52A8A4" w14:textId="77777777" w:rsidR="0049452E" w:rsidRPr="00510944" w:rsidRDefault="0049452E" w:rsidP="0043619D">
            <w:pPr>
              <w:rPr>
                <w:color w:val="003639" w:themeColor="text1"/>
                <w:lang w:eastAsia="ja-JP"/>
              </w:rPr>
            </w:pPr>
          </w:p>
          <w:p w14:paraId="76FFCAD3" w14:textId="239A7500" w:rsidR="0049452E" w:rsidRPr="00510944" w:rsidRDefault="00522A5F" w:rsidP="0043619D">
            <w:pPr>
              <w:rPr>
                <w:color w:val="003639" w:themeColor="text1"/>
              </w:rPr>
            </w:pPr>
            <w:r w:rsidRPr="00510944">
              <w:rPr>
                <w:color w:val="003639" w:themeColor="text1"/>
                <w:lang w:eastAsia="ja-JP"/>
              </w:rPr>
              <w:t>In terms of gender identity, research suggests that people identifying as trans, non-binary, or gender diverse experience higher levels of sexual assault compared to those that identify as cis-gender separate from sexual orientation</w:t>
            </w:r>
            <w:r w:rsidRPr="00510944">
              <w:rPr>
                <w:noProof/>
                <w:color w:val="003639" w:themeColor="text1"/>
                <w:vertAlign w:val="superscript"/>
                <w:lang w:eastAsia="ja-JP"/>
              </w:rPr>
              <w:t>4,26-30</w:t>
            </w:r>
            <w:r w:rsidRPr="00510944">
              <w:rPr>
                <w:color w:val="003639" w:themeColor="text1"/>
                <w:lang w:eastAsia="ja-JP"/>
              </w:rPr>
              <w:t xml:space="preserve"> with </w:t>
            </w:r>
            <w:r w:rsidRPr="00510944">
              <w:rPr>
                <w:color w:val="003639" w:themeColor="text1"/>
              </w:rPr>
              <w:t>transwomen being particularly at risk overall</w:t>
            </w:r>
            <w:r w:rsidR="00352757" w:rsidRPr="00510944">
              <w:rPr>
                <w:color w:val="003639" w:themeColor="text1"/>
              </w:rPr>
              <w:t>.</w:t>
            </w:r>
            <w:r w:rsidRPr="00510944">
              <w:rPr>
                <w:noProof/>
                <w:color w:val="003639" w:themeColor="text1"/>
                <w:vertAlign w:val="superscript"/>
              </w:rPr>
              <w:t>31</w:t>
            </w:r>
          </w:p>
          <w:p w14:paraId="147B9E01" w14:textId="77777777" w:rsidR="0049452E" w:rsidRPr="00510944" w:rsidRDefault="0049452E" w:rsidP="0043619D">
            <w:pPr>
              <w:rPr>
                <w:color w:val="003639" w:themeColor="text1"/>
                <w:lang w:eastAsia="en-AU"/>
              </w:rPr>
            </w:pPr>
          </w:p>
          <w:p w14:paraId="6CAA8263" w14:textId="288E269C" w:rsidR="00522A5F" w:rsidRPr="00510944" w:rsidRDefault="00522A5F" w:rsidP="0043619D">
            <w:pPr>
              <w:rPr>
                <w:color w:val="003639" w:themeColor="text1"/>
              </w:rPr>
            </w:pPr>
            <w:r w:rsidRPr="00510944">
              <w:rPr>
                <w:color w:val="003639" w:themeColor="text1"/>
                <w:lang w:eastAsia="en-AU"/>
              </w:rPr>
              <w:t>Relying on crime rates for the years 2014</w:t>
            </w:r>
            <w:r w:rsidR="008A1F68" w:rsidRPr="00510944">
              <w:rPr>
                <w:color w:val="003639" w:themeColor="text1"/>
                <w:lang w:eastAsia="en-AU"/>
              </w:rPr>
              <w:t>-</w:t>
            </w:r>
            <w:r w:rsidRPr="00510944">
              <w:rPr>
                <w:color w:val="003639" w:themeColor="text1"/>
                <w:lang w:eastAsia="en-AU"/>
              </w:rPr>
              <w:t>2021, the AIHW reports that comparing the Australian rates per 100,000 to the Indigenous rates, they are consistently between 2-4 times higher across those states that reliably record Indigenous status NSW, QLD, SA and the NT</w:t>
            </w:r>
            <w:r w:rsidR="006634E4" w:rsidRPr="00510944">
              <w:rPr>
                <w:color w:val="003639" w:themeColor="text1"/>
                <w:lang w:eastAsia="en-AU"/>
              </w:rPr>
              <w:t>.</w:t>
            </w:r>
            <w:r w:rsidRPr="00510944">
              <w:rPr>
                <w:noProof/>
                <w:color w:val="003639" w:themeColor="text1"/>
                <w:vertAlign w:val="superscript"/>
                <w:lang w:eastAsia="en-AU"/>
              </w:rPr>
              <w:t>32</w:t>
            </w:r>
            <w:r w:rsidRPr="00510944">
              <w:rPr>
                <w:color w:val="003639" w:themeColor="text1"/>
                <w:lang w:eastAsia="en-AU"/>
              </w:rPr>
              <w:t xml:space="preserve">  It should be noted that, 1) due to under reporting of sexual assault to the police, this data is likely to be under estimate prevalence rates, 2) this data does not identify the gender of the victim or perpetrator, or the relationship between the victim or the perpetrator.  </w:t>
            </w:r>
          </w:p>
          <w:p w14:paraId="64590FA4" w14:textId="77777777" w:rsidR="00522A5F" w:rsidRPr="00510944" w:rsidRDefault="00522A5F" w:rsidP="00DF0BD6">
            <w:pPr>
              <w:jc w:val="both"/>
              <w:rPr>
                <w:b/>
                <w:bCs/>
                <w:color w:val="003639" w:themeColor="text1"/>
                <w:sz w:val="20"/>
                <w:szCs w:val="20"/>
                <w:lang w:eastAsia="en-AU" w:bidi="en-US"/>
              </w:rPr>
            </w:pPr>
          </w:p>
          <w:p w14:paraId="47B9F433" w14:textId="60185533" w:rsidR="00522A5F" w:rsidRPr="00510944" w:rsidRDefault="00522A5F" w:rsidP="00B60987">
            <w:pPr>
              <w:rPr>
                <w:b/>
                <w:bCs/>
                <w:color w:val="003639" w:themeColor="text1"/>
                <w:lang w:eastAsia="en-AU" w:bidi="en-US"/>
              </w:rPr>
            </w:pPr>
            <w:r w:rsidRPr="00510944">
              <w:rPr>
                <w:color w:val="003639" w:themeColor="text1"/>
                <w:lang w:eastAsia="en-AU" w:bidi="en-US"/>
              </w:rPr>
              <w:t xml:space="preserve">The use of physical force in instances of sexual assault is less common than </w:t>
            </w:r>
            <w:r w:rsidRPr="00510944">
              <w:rPr>
                <w:b/>
                <w:bCs/>
                <w:color w:val="003639" w:themeColor="text1"/>
                <w:lang w:eastAsia="en-AU" w:bidi="en-US"/>
              </w:rPr>
              <w:t>other tactics used by perpetrators which include:</w:t>
            </w:r>
          </w:p>
          <w:p w14:paraId="43DA1867" w14:textId="3DA0ECC4" w:rsidR="00522A5F" w:rsidRPr="00510944" w:rsidRDefault="000515F9" w:rsidP="00B60987">
            <w:pPr>
              <w:pStyle w:val="ListParagraph"/>
              <w:numPr>
                <w:ilvl w:val="0"/>
                <w:numId w:val="93"/>
              </w:numPr>
              <w:rPr>
                <w:color w:val="003639" w:themeColor="text1"/>
                <w:lang w:eastAsia="en-AU" w:bidi="en-US"/>
              </w:rPr>
            </w:pPr>
            <w:r w:rsidRPr="00510944">
              <w:rPr>
                <w:color w:val="003639" w:themeColor="text1"/>
                <w:lang w:eastAsia="en-AU" w:bidi="en-US"/>
              </w:rPr>
              <w:lastRenderedPageBreak/>
              <w:t>i</w:t>
            </w:r>
            <w:r w:rsidR="00522A5F" w:rsidRPr="00510944">
              <w:rPr>
                <w:color w:val="003639" w:themeColor="text1"/>
                <w:lang w:eastAsia="en-AU" w:bidi="en-US"/>
              </w:rPr>
              <w:t xml:space="preserve">ncapacitating the victim </w:t>
            </w:r>
            <w:r w:rsidR="00522A5F" w:rsidRPr="00510944">
              <w:rPr>
                <w:color w:val="003639" w:themeColor="text1"/>
              </w:rPr>
              <w:t>including administering alcohol or drugs without the women’s consent</w:t>
            </w:r>
          </w:p>
          <w:p w14:paraId="20E6F306" w14:textId="65B03A45" w:rsidR="00522A5F" w:rsidRPr="00510944" w:rsidRDefault="000515F9" w:rsidP="00B60987">
            <w:pPr>
              <w:pStyle w:val="ListParagraph"/>
              <w:numPr>
                <w:ilvl w:val="0"/>
                <w:numId w:val="93"/>
              </w:numPr>
              <w:rPr>
                <w:color w:val="003639" w:themeColor="text1"/>
              </w:rPr>
            </w:pPr>
            <w:r w:rsidRPr="00510944">
              <w:rPr>
                <w:color w:val="003639" w:themeColor="text1"/>
              </w:rPr>
              <w:t>v</w:t>
            </w:r>
            <w:r w:rsidR="00522A5F" w:rsidRPr="00510944">
              <w:rPr>
                <w:color w:val="003639" w:themeColor="text1"/>
              </w:rPr>
              <w:t xml:space="preserve">erbal coercion / continual arguments and pressure / told lies /made promises that were </w:t>
            </w:r>
            <w:proofErr w:type="gramStart"/>
            <w:r w:rsidR="00522A5F" w:rsidRPr="00510944">
              <w:rPr>
                <w:color w:val="003639" w:themeColor="text1"/>
              </w:rPr>
              <w:t>untrue</w:t>
            </w:r>
            <w:proofErr w:type="gramEnd"/>
          </w:p>
          <w:p w14:paraId="228805C4" w14:textId="77777777" w:rsidR="006E648A" w:rsidRPr="00510944" w:rsidRDefault="000515F9" w:rsidP="00B60987">
            <w:pPr>
              <w:pStyle w:val="ListParagraph"/>
              <w:numPr>
                <w:ilvl w:val="0"/>
                <w:numId w:val="93"/>
              </w:numPr>
              <w:rPr>
                <w:color w:val="003639" w:themeColor="text1"/>
              </w:rPr>
            </w:pPr>
            <w:r w:rsidRPr="00510944">
              <w:rPr>
                <w:color w:val="003639" w:themeColor="text1"/>
              </w:rPr>
              <w:t>o</w:t>
            </w:r>
            <w:r w:rsidR="00522A5F" w:rsidRPr="00510944">
              <w:rPr>
                <w:color w:val="003639" w:themeColor="text1"/>
              </w:rPr>
              <w:t>ther forms of coercion such as showing displeasure via anger, swearing and sulking to make women feel guilt</w:t>
            </w:r>
            <w:r w:rsidR="00310463" w:rsidRPr="00510944">
              <w:rPr>
                <w:color w:val="003639" w:themeColor="text1"/>
              </w:rPr>
              <w:t>.</w:t>
            </w:r>
            <w:r w:rsidR="00522A5F" w:rsidRPr="00510944">
              <w:rPr>
                <w:noProof/>
                <w:color w:val="003639" w:themeColor="text1"/>
                <w:vertAlign w:val="superscript"/>
              </w:rPr>
              <w:t>33,34</w:t>
            </w:r>
          </w:p>
          <w:p w14:paraId="7BB51A96" w14:textId="77777777" w:rsidR="006E648A" w:rsidRPr="00510944" w:rsidRDefault="006E648A" w:rsidP="006E648A">
            <w:pPr>
              <w:pStyle w:val="ListParagraph"/>
              <w:rPr>
                <w:color w:val="003639" w:themeColor="text1"/>
              </w:rPr>
            </w:pPr>
          </w:p>
          <w:p w14:paraId="191DAC79" w14:textId="0AA29570" w:rsidR="00522A5F" w:rsidRPr="00510944" w:rsidRDefault="00522A5F" w:rsidP="006E648A">
            <w:pPr>
              <w:rPr>
                <w:color w:val="003639" w:themeColor="text1"/>
              </w:rPr>
            </w:pPr>
            <w:r w:rsidRPr="00510944">
              <w:rPr>
                <w:color w:val="003639" w:themeColor="text1"/>
                <w:lang w:eastAsia="en-AU" w:bidi="en-US"/>
              </w:rPr>
              <w:t>Up to 10% of these self-report behaviours would meet a definition of rape</w:t>
            </w:r>
            <w:r w:rsidR="006E648A" w:rsidRPr="00510944">
              <w:rPr>
                <w:color w:val="003639" w:themeColor="text1"/>
                <w:lang w:eastAsia="en-AU" w:bidi="en-US"/>
              </w:rPr>
              <w:t>.</w:t>
            </w:r>
            <w:r w:rsidRPr="00510944">
              <w:rPr>
                <w:noProof/>
                <w:color w:val="003639" w:themeColor="text1"/>
                <w:vertAlign w:val="superscript"/>
              </w:rPr>
              <w:t>9,35</w:t>
            </w:r>
            <w:r w:rsidRPr="00510944">
              <w:rPr>
                <w:color w:val="003639" w:themeColor="text1"/>
              </w:rPr>
              <w:t xml:space="preserve"> It should also be noted that t</w:t>
            </w:r>
            <w:r w:rsidRPr="00510944">
              <w:rPr>
                <w:color w:val="003639" w:themeColor="text1"/>
                <w:lang w:eastAsia="en-AU" w:bidi="en-US"/>
              </w:rPr>
              <w:t>he use of physical force in instances of sexual assault is uncommon.</w:t>
            </w:r>
          </w:p>
        </w:tc>
      </w:tr>
      <w:tr w:rsidR="00510944" w:rsidRPr="00510944" w14:paraId="269F3D20" w14:textId="77777777" w:rsidTr="006B3855">
        <w:trPr>
          <w:trHeight w:val="418"/>
        </w:trPr>
        <w:tc>
          <w:tcPr>
            <w:tcW w:w="1917" w:type="dxa"/>
          </w:tcPr>
          <w:p w14:paraId="7C4E0B78" w14:textId="77777777" w:rsidR="00522A5F" w:rsidRPr="00510944" w:rsidRDefault="00522A5F" w:rsidP="006B3855">
            <w:pPr>
              <w:rPr>
                <w:b/>
                <w:color w:val="003639" w:themeColor="text1"/>
                <w:lang w:eastAsia="en-AU" w:bidi="en-US"/>
              </w:rPr>
            </w:pPr>
            <w:r w:rsidRPr="00510944">
              <w:rPr>
                <w:b/>
                <w:color w:val="003639" w:themeColor="text1"/>
                <w:lang w:eastAsia="en-AU" w:bidi="en-US"/>
              </w:rPr>
              <w:lastRenderedPageBreak/>
              <w:t xml:space="preserve">Researcher’s indication of the main drivers and reinforcing factors. </w:t>
            </w:r>
          </w:p>
          <w:p w14:paraId="591AEEE2" w14:textId="77777777" w:rsidR="00522A5F" w:rsidRPr="00510944" w:rsidRDefault="00522A5F" w:rsidP="006B3855">
            <w:pPr>
              <w:rPr>
                <w:rFonts w:eastAsia="Times New Roman"/>
                <w:b/>
                <w:color w:val="003639" w:themeColor="text1"/>
                <w:lang w:eastAsia="en-AU" w:bidi="en-US"/>
              </w:rPr>
            </w:pPr>
          </w:p>
        </w:tc>
        <w:tc>
          <w:tcPr>
            <w:tcW w:w="8018" w:type="dxa"/>
          </w:tcPr>
          <w:p w14:paraId="794B2A57" w14:textId="77777777" w:rsidR="00522A5F" w:rsidRPr="00510944" w:rsidRDefault="00522A5F" w:rsidP="009E59BD">
            <w:pPr>
              <w:rPr>
                <w:color w:val="003639" w:themeColor="text1"/>
                <w:lang w:eastAsia="en-AU" w:bidi="en-US"/>
              </w:rPr>
            </w:pPr>
            <w:r w:rsidRPr="00510944">
              <w:rPr>
                <w:color w:val="003639" w:themeColor="text1"/>
                <w:lang w:eastAsia="en-AU" w:bidi="en-US"/>
              </w:rPr>
              <w:t xml:space="preserve">Risk factors is a term </w:t>
            </w:r>
            <w:proofErr w:type="gramStart"/>
            <w:r w:rsidRPr="00510944">
              <w:rPr>
                <w:color w:val="003639" w:themeColor="text1"/>
                <w:lang w:eastAsia="en-AU" w:bidi="en-US"/>
              </w:rPr>
              <w:t>most commonly used</w:t>
            </w:r>
            <w:proofErr w:type="gramEnd"/>
            <w:r w:rsidRPr="00510944">
              <w:rPr>
                <w:color w:val="003639" w:themeColor="text1"/>
                <w:lang w:eastAsia="en-AU" w:bidi="en-US"/>
              </w:rPr>
              <w:t xml:space="preserve"> across some disciplines to describe the elements underpinning non partner sexual assault. Due to the prevalence of sexual assault perpetrated against specific cohorts, this can result in identification of risk factors such as being female, Indigenous, LGBTIQ or having a disability. </w:t>
            </w:r>
          </w:p>
          <w:p w14:paraId="53A44E6E" w14:textId="77777777" w:rsidR="00522A5F" w:rsidRPr="00510944" w:rsidRDefault="00522A5F" w:rsidP="009E59BD">
            <w:pPr>
              <w:rPr>
                <w:color w:val="003639" w:themeColor="text1"/>
                <w:lang w:eastAsia="en-AU" w:bidi="en-US"/>
              </w:rPr>
            </w:pPr>
          </w:p>
          <w:p w14:paraId="6161B158" w14:textId="2C9D8748" w:rsidR="00522A5F" w:rsidRPr="00510944" w:rsidRDefault="00522A5F" w:rsidP="009E59BD">
            <w:pPr>
              <w:rPr>
                <w:color w:val="003639" w:themeColor="text1"/>
                <w:lang w:eastAsia="en-AU" w:bidi="en-US"/>
              </w:rPr>
            </w:pPr>
            <w:r w:rsidRPr="00510944">
              <w:rPr>
                <w:color w:val="003639" w:themeColor="text1"/>
                <w:lang w:eastAsia="en-AU" w:bidi="en-US"/>
              </w:rPr>
              <w:t xml:space="preserve">However, the </w:t>
            </w:r>
            <w:r w:rsidRPr="00510944">
              <w:rPr>
                <w:i/>
                <w:iCs/>
                <w:color w:val="003639" w:themeColor="text1"/>
                <w:lang w:eastAsia="en-AU" w:bidi="en-US"/>
              </w:rPr>
              <w:t>identity</w:t>
            </w:r>
            <w:r w:rsidRPr="00510944">
              <w:rPr>
                <w:color w:val="003639" w:themeColor="text1"/>
                <w:lang w:eastAsia="en-AU" w:bidi="en-US"/>
              </w:rPr>
              <w:t xml:space="preserve"> of specific cohorts is not what places them at risk but rather the systematic and structural forms of oppression that drive high perpetration rates across specific cohorts. To understand how community and organisational factors may contribute to sexual </w:t>
            </w:r>
            <w:proofErr w:type="spellStart"/>
            <w:r w:rsidRPr="00510944">
              <w:rPr>
                <w:color w:val="003639" w:themeColor="text1"/>
                <w:lang w:eastAsia="en-AU" w:bidi="en-US"/>
              </w:rPr>
              <w:t>revictimisation</w:t>
            </w:r>
            <w:proofErr w:type="spellEnd"/>
            <w:r w:rsidRPr="00510944">
              <w:rPr>
                <w:color w:val="003639" w:themeColor="text1"/>
                <w:lang w:eastAsia="en-AU" w:bidi="en-US"/>
              </w:rPr>
              <w:t xml:space="preserve">, </w:t>
            </w:r>
            <w:proofErr w:type="spellStart"/>
            <w:r w:rsidRPr="00510944">
              <w:rPr>
                <w:color w:val="003639" w:themeColor="text1"/>
                <w:lang w:eastAsia="en-AU" w:bidi="en-US"/>
              </w:rPr>
              <w:t>Grauerholz</w:t>
            </w:r>
            <w:proofErr w:type="spellEnd"/>
            <w:r w:rsidRPr="00510944">
              <w:rPr>
                <w:color w:val="003639" w:themeColor="text1"/>
                <w:lang w:eastAsia="en-AU" w:bidi="en-US"/>
              </w:rPr>
              <w:t xml:space="preserve"> reminds us to be concerned with ‘how social power is derived and how one’s (lack of) social power contributes to vulnerability.’</w:t>
            </w:r>
            <w:r w:rsidRPr="00510944">
              <w:rPr>
                <w:noProof/>
                <w:color w:val="003639" w:themeColor="text1"/>
                <w:vertAlign w:val="superscript"/>
                <w:lang w:eastAsia="en-AU" w:bidi="en-US"/>
              </w:rPr>
              <w:t>36</w:t>
            </w:r>
            <w:r w:rsidRPr="00510944">
              <w:rPr>
                <w:color w:val="003639" w:themeColor="text1"/>
                <w:vertAlign w:val="superscript"/>
                <w:lang w:eastAsia="en-AU" w:bidi="en-US"/>
              </w:rPr>
              <w:t>(p12-13)</w:t>
            </w:r>
            <w:r w:rsidRPr="00510944">
              <w:rPr>
                <w:color w:val="003639" w:themeColor="text1"/>
                <w:lang w:eastAsia="en-AU" w:bidi="en-US"/>
              </w:rPr>
              <w:t xml:space="preserve"> Apart from factors such as socio-economic position, gender, disability, ethnicity, class and sexuality having an influence on social power, so too does a history of victimisation. This can translate into how a victim-survivor experiences their relationships with the broader community and organisations with which they engage.</w:t>
            </w:r>
            <w:r w:rsidRPr="00510944">
              <w:rPr>
                <w:noProof/>
                <w:color w:val="003639" w:themeColor="text1"/>
                <w:vertAlign w:val="superscript"/>
                <w:lang w:eastAsia="en-AU" w:bidi="en-US"/>
              </w:rPr>
              <w:t>36</w:t>
            </w:r>
          </w:p>
          <w:p w14:paraId="7BDD5F92" w14:textId="77777777" w:rsidR="00522A5F" w:rsidRPr="00510944" w:rsidRDefault="00522A5F" w:rsidP="009E59BD">
            <w:pPr>
              <w:rPr>
                <w:color w:val="003639" w:themeColor="text1"/>
                <w:lang w:eastAsia="en-AU" w:bidi="en-US"/>
              </w:rPr>
            </w:pPr>
          </w:p>
          <w:p w14:paraId="76A865BD" w14:textId="6BCC0D69" w:rsidR="00522A5F" w:rsidRPr="00510944" w:rsidRDefault="00522A5F" w:rsidP="009E59BD">
            <w:pPr>
              <w:rPr>
                <w:color w:val="003639" w:themeColor="text1"/>
                <w:lang w:eastAsia="en-AU" w:bidi="en-US"/>
              </w:rPr>
            </w:pPr>
            <w:r w:rsidRPr="00510944">
              <w:rPr>
                <w:color w:val="003639" w:themeColor="text1"/>
                <w:lang w:eastAsia="en-AU" w:bidi="en-US"/>
              </w:rPr>
              <w:t xml:space="preserve">"To fully understand the process of </w:t>
            </w:r>
            <w:proofErr w:type="spellStart"/>
            <w:r w:rsidRPr="00510944">
              <w:rPr>
                <w:color w:val="003639" w:themeColor="text1"/>
                <w:lang w:eastAsia="en-AU" w:bidi="en-US"/>
              </w:rPr>
              <w:t>revictimisation</w:t>
            </w:r>
            <w:proofErr w:type="spellEnd"/>
            <w:r w:rsidRPr="00510944">
              <w:rPr>
                <w:color w:val="003639" w:themeColor="text1"/>
                <w:lang w:eastAsia="en-AU" w:bidi="en-US"/>
              </w:rPr>
              <w:t xml:space="preserve"> or any gender/family violence, one needs to take into account the larger cultural context in which the individual, her relationships, and the community are embedded.”</w:t>
            </w:r>
            <w:r w:rsidRPr="00510944">
              <w:rPr>
                <w:rFonts w:eastAsia="Times New Roman"/>
                <w:noProof/>
                <w:color w:val="003639" w:themeColor="text1"/>
                <w:vertAlign w:val="superscript"/>
                <w:lang w:eastAsia="en-AU" w:bidi="en-US"/>
              </w:rPr>
              <w:t>36</w:t>
            </w:r>
            <w:r w:rsidR="006850E8" w:rsidRPr="00510944">
              <w:rPr>
                <w:rFonts w:eastAsia="Times New Roman"/>
                <w:noProof/>
                <w:color w:val="003639" w:themeColor="text1"/>
                <w:vertAlign w:val="superscript"/>
                <w:lang w:eastAsia="en-AU" w:bidi="en-US"/>
              </w:rPr>
              <w:t>(</w:t>
            </w:r>
            <w:r w:rsidRPr="00510944">
              <w:rPr>
                <w:rFonts w:eastAsia="Times New Roman"/>
                <w:noProof/>
                <w:color w:val="003639" w:themeColor="text1"/>
                <w:vertAlign w:val="superscript"/>
                <w:lang w:eastAsia="en-AU" w:bidi="en-US"/>
              </w:rPr>
              <w:t>p14</w:t>
            </w:r>
            <w:r w:rsidR="006850E8" w:rsidRPr="00510944">
              <w:rPr>
                <w:rFonts w:eastAsia="Times New Roman"/>
                <w:noProof/>
                <w:color w:val="003639" w:themeColor="text1"/>
                <w:vertAlign w:val="superscript"/>
                <w:lang w:eastAsia="en-AU" w:bidi="en-US"/>
              </w:rPr>
              <w:t>)</w:t>
            </w:r>
            <w:r w:rsidRPr="00510944">
              <w:rPr>
                <w:color w:val="003639" w:themeColor="text1"/>
                <w:lang w:eastAsia="en-AU" w:bidi="en-US"/>
              </w:rPr>
              <w:t xml:space="preserve"> In order to achieve synergy with contemporary violence prevention paradigms and discourse, the elements underpinning non partner sexual assault are presented utilizing the concept of drivers and reinforcing factors.</w:t>
            </w:r>
          </w:p>
          <w:p w14:paraId="195AAC95" w14:textId="77777777" w:rsidR="009E59BD" w:rsidRPr="00510944" w:rsidRDefault="009E59BD" w:rsidP="009E59BD">
            <w:pPr>
              <w:rPr>
                <w:color w:val="003639" w:themeColor="text1"/>
                <w:lang w:eastAsia="en-AU" w:bidi="en-US"/>
              </w:rPr>
            </w:pPr>
          </w:p>
          <w:p w14:paraId="3553EDAF" w14:textId="77777777" w:rsidR="00522A5F" w:rsidRPr="00510944" w:rsidRDefault="00522A5F" w:rsidP="009E59BD">
            <w:pPr>
              <w:rPr>
                <w:i/>
                <w:iCs/>
                <w:color w:val="003639" w:themeColor="text1"/>
                <w:lang w:eastAsia="en-AU" w:bidi="en-US"/>
              </w:rPr>
            </w:pPr>
            <w:r w:rsidRPr="00510944">
              <w:rPr>
                <w:i/>
                <w:iCs/>
                <w:color w:val="003639" w:themeColor="text1"/>
                <w:lang w:eastAsia="en-AU" w:bidi="en-US"/>
              </w:rPr>
              <w:t>The main gendered drivers of non-partner sexual assault perpetrated against women identified in the research include:</w:t>
            </w:r>
          </w:p>
          <w:p w14:paraId="6AFAB148" w14:textId="77777777" w:rsidR="00FA6EB5" w:rsidRPr="00510944" w:rsidRDefault="00FA6EB5" w:rsidP="009E59BD">
            <w:pPr>
              <w:rPr>
                <w:i/>
                <w:iCs/>
                <w:color w:val="003639" w:themeColor="text1"/>
                <w:lang w:eastAsia="en-AU" w:bidi="en-US"/>
              </w:rPr>
            </w:pPr>
          </w:p>
          <w:p w14:paraId="4894779A" w14:textId="77777777" w:rsidR="00861D6F" w:rsidRPr="00510944" w:rsidRDefault="00522A5F" w:rsidP="009E59BD">
            <w:pPr>
              <w:rPr>
                <w:noProof/>
                <w:color w:val="003639" w:themeColor="text1"/>
                <w:vertAlign w:val="superscript"/>
                <w:lang w:val="en-GB"/>
              </w:rPr>
            </w:pPr>
            <w:r w:rsidRPr="00510944">
              <w:rPr>
                <w:b/>
                <w:bCs/>
                <w:color w:val="003639" w:themeColor="text1"/>
                <w:lang w:eastAsia="en-AU" w:bidi="en-US"/>
              </w:rPr>
              <w:t>Rigid gender roles and constructions of masculinity and femininity and male peer</w:t>
            </w:r>
            <w:r w:rsidRPr="00510944">
              <w:rPr>
                <w:color w:val="003639" w:themeColor="text1"/>
                <w:lang w:eastAsia="en-AU" w:bidi="en-US"/>
              </w:rPr>
              <w:t xml:space="preserve"> </w:t>
            </w:r>
            <w:r w:rsidRPr="00510944">
              <w:rPr>
                <w:b/>
                <w:bCs/>
                <w:color w:val="003639" w:themeColor="text1"/>
                <w:lang w:eastAsia="en-AU" w:bidi="en-US"/>
              </w:rPr>
              <w:t xml:space="preserve">relations that emphasis aggression and disrespect towards women. </w:t>
            </w:r>
            <w:r w:rsidRPr="00510944">
              <w:rPr>
                <w:color w:val="003639" w:themeColor="text1"/>
                <w:lang w:eastAsia="en-AU" w:bidi="en-US"/>
              </w:rPr>
              <w:t xml:space="preserve">These drivers are reflected in attitudes, beliefs and cognitions about male dominance with hostile masculinities and impersonal sex, often linked to male consumption of pornography, being shown to predict perpetration. Peer support for sexual violence is also linked with hypermasculine or hierarchical organizational structures and institutions such as </w:t>
            </w:r>
            <w:proofErr w:type="spellStart"/>
            <w:r w:rsidRPr="00510944">
              <w:rPr>
                <w:color w:val="003639" w:themeColor="text1"/>
                <w:lang w:eastAsia="en-AU" w:bidi="en-US"/>
              </w:rPr>
              <w:t>defense</w:t>
            </w:r>
            <w:proofErr w:type="spellEnd"/>
            <w:r w:rsidRPr="00510944">
              <w:rPr>
                <w:color w:val="003639" w:themeColor="text1"/>
                <w:lang w:eastAsia="en-AU" w:bidi="en-US"/>
              </w:rPr>
              <w:t xml:space="preserve"> forces. It should also be noted that these two drivers, when combined with </w:t>
            </w:r>
            <w:r w:rsidRPr="00510944">
              <w:rPr>
                <w:color w:val="003639" w:themeColor="text1"/>
              </w:rPr>
              <w:t>H</w:t>
            </w:r>
            <w:proofErr w:type="spellStart"/>
            <w:r w:rsidRPr="00510944">
              <w:rPr>
                <w:color w:val="003639" w:themeColor="text1"/>
                <w:lang w:val="en-GB"/>
              </w:rPr>
              <w:t>eteronormativity</w:t>
            </w:r>
            <w:proofErr w:type="spellEnd"/>
            <w:r w:rsidRPr="00510944">
              <w:rPr>
                <w:color w:val="003639" w:themeColor="text1"/>
                <w:lang w:val="en-GB"/>
              </w:rPr>
              <w:t xml:space="preserve">, </w:t>
            </w:r>
            <w:r w:rsidRPr="00510944">
              <w:rPr>
                <w:color w:val="003639" w:themeColor="text1"/>
                <w:lang w:val="en-GB"/>
              </w:rPr>
              <w:lastRenderedPageBreak/>
              <w:t>cisnormativity, homo-, bi- and transphobia also have relevance for LGBTIQ cohorts.</w:t>
            </w:r>
            <w:r w:rsidRPr="00510944">
              <w:rPr>
                <w:noProof/>
                <w:color w:val="003639" w:themeColor="text1"/>
                <w:vertAlign w:val="superscript"/>
                <w:lang w:val="en-GB"/>
              </w:rPr>
              <w:t>37</w:t>
            </w:r>
          </w:p>
          <w:p w14:paraId="2E71EEC4" w14:textId="77777777" w:rsidR="00A12A88" w:rsidRPr="00510944" w:rsidRDefault="00A12A88" w:rsidP="009E59BD">
            <w:pPr>
              <w:rPr>
                <w:b/>
                <w:bCs/>
                <w:color w:val="003639" w:themeColor="text1"/>
                <w:lang w:eastAsia="en-AU" w:bidi="en-US"/>
              </w:rPr>
            </w:pPr>
          </w:p>
          <w:p w14:paraId="6D212EA0" w14:textId="7D4A8234" w:rsidR="00522A5F" w:rsidRPr="00510944" w:rsidRDefault="00522A5F" w:rsidP="009E59BD">
            <w:pPr>
              <w:rPr>
                <w:color w:val="003639" w:themeColor="text1"/>
                <w:lang w:eastAsia="en-AU" w:bidi="en-US"/>
              </w:rPr>
            </w:pPr>
            <w:r w:rsidRPr="00510944">
              <w:rPr>
                <w:b/>
                <w:bCs/>
                <w:color w:val="003639" w:themeColor="text1"/>
                <w:lang w:eastAsia="en-AU" w:bidi="en-US"/>
              </w:rPr>
              <w:t xml:space="preserve">Limits to women’s independence in public and private life </w:t>
            </w:r>
            <w:r w:rsidRPr="00510944">
              <w:rPr>
                <w:color w:val="003639" w:themeColor="text1"/>
                <w:lang w:eastAsia="en-AU" w:bidi="en-US"/>
              </w:rPr>
              <w:t>which is linked to higher measures of gender inequality and associated with men’s sexual assault perpetration and women’s victimization.</w:t>
            </w:r>
          </w:p>
          <w:p w14:paraId="66BC266A" w14:textId="77777777" w:rsidR="00861D6F" w:rsidRPr="00510944" w:rsidRDefault="00861D6F" w:rsidP="009E59BD">
            <w:pPr>
              <w:rPr>
                <w:color w:val="003639" w:themeColor="text1"/>
                <w:lang w:eastAsia="en-AU" w:bidi="en-US"/>
              </w:rPr>
            </w:pPr>
          </w:p>
          <w:p w14:paraId="2D06A4CA" w14:textId="77777777" w:rsidR="00522A5F" w:rsidRPr="00510944" w:rsidRDefault="00522A5F" w:rsidP="009E59BD">
            <w:pPr>
              <w:rPr>
                <w:i/>
                <w:iCs/>
                <w:color w:val="003639" w:themeColor="text1"/>
                <w:lang w:eastAsia="en-AU" w:bidi="en-US"/>
              </w:rPr>
            </w:pPr>
            <w:r w:rsidRPr="00510944">
              <w:rPr>
                <w:i/>
                <w:iCs/>
                <w:color w:val="003639" w:themeColor="text1"/>
                <w:lang w:eastAsia="en-AU" w:bidi="en-US"/>
              </w:rPr>
              <w:t>The Main Reinforcing Factors identified in the research include:</w:t>
            </w:r>
          </w:p>
          <w:p w14:paraId="26B86D4C" w14:textId="77777777" w:rsidR="00861D6F" w:rsidRPr="00510944" w:rsidRDefault="00861D6F" w:rsidP="009E59BD">
            <w:pPr>
              <w:rPr>
                <w:i/>
                <w:iCs/>
                <w:color w:val="003639" w:themeColor="text1"/>
                <w:lang w:eastAsia="en-AU" w:bidi="en-US"/>
              </w:rPr>
            </w:pPr>
          </w:p>
          <w:p w14:paraId="72ECAC2D" w14:textId="77777777" w:rsidR="00522A5F" w:rsidRPr="00510944" w:rsidRDefault="00522A5F" w:rsidP="009E59BD">
            <w:pPr>
              <w:rPr>
                <w:color w:val="003639" w:themeColor="text1"/>
              </w:rPr>
            </w:pPr>
            <w:r w:rsidRPr="00510944">
              <w:rPr>
                <w:b/>
                <w:bCs/>
                <w:color w:val="003639" w:themeColor="text1"/>
              </w:rPr>
              <w:t>Condoning of violence in general</w:t>
            </w:r>
            <w:r w:rsidRPr="00510944">
              <w:rPr>
                <w:color w:val="003639" w:themeColor="text1"/>
              </w:rPr>
              <w:t>, which can lead to the ‘normalisation’ of violence.</w:t>
            </w:r>
          </w:p>
          <w:p w14:paraId="7C962F88" w14:textId="77777777" w:rsidR="00522A5F" w:rsidRPr="00510944" w:rsidRDefault="00522A5F" w:rsidP="009E59BD">
            <w:pPr>
              <w:rPr>
                <w:color w:val="003639" w:themeColor="text1"/>
              </w:rPr>
            </w:pPr>
          </w:p>
          <w:p w14:paraId="28AA77E8" w14:textId="77777777" w:rsidR="00522A5F" w:rsidRPr="00510944" w:rsidRDefault="00522A5F" w:rsidP="009E59BD">
            <w:pPr>
              <w:rPr>
                <w:color w:val="003639" w:themeColor="text1"/>
              </w:rPr>
            </w:pPr>
            <w:r w:rsidRPr="00510944">
              <w:rPr>
                <w:b/>
                <w:bCs/>
                <w:color w:val="003639" w:themeColor="text1"/>
              </w:rPr>
              <w:t>Experience of, and exposure to, violence,</w:t>
            </w:r>
            <w:r w:rsidRPr="00510944">
              <w:rPr>
                <w:color w:val="003639" w:themeColor="text1"/>
              </w:rPr>
              <w:t xml:space="preserve"> particularly during childhood and adolescence. </w:t>
            </w:r>
          </w:p>
          <w:p w14:paraId="2EC6D0BB" w14:textId="21F1E87E" w:rsidR="00522A5F" w:rsidRPr="00510944" w:rsidRDefault="00522A5F" w:rsidP="00861D6F">
            <w:pPr>
              <w:pStyle w:val="ListParagraph"/>
              <w:numPr>
                <w:ilvl w:val="0"/>
                <w:numId w:val="94"/>
              </w:numPr>
              <w:rPr>
                <w:color w:val="003639" w:themeColor="text1"/>
              </w:rPr>
            </w:pPr>
            <w:r w:rsidRPr="00510944">
              <w:rPr>
                <w:color w:val="003639" w:themeColor="text1"/>
              </w:rPr>
              <w:t xml:space="preserve">Experiences of child maltreatment, particularly child sexual abuse, is identified in </w:t>
            </w:r>
            <w:proofErr w:type="gramStart"/>
            <w:r w:rsidRPr="00510944">
              <w:rPr>
                <w:color w:val="003639" w:themeColor="text1"/>
              </w:rPr>
              <w:t>a number of</w:t>
            </w:r>
            <w:proofErr w:type="gramEnd"/>
            <w:r w:rsidRPr="00510944">
              <w:rPr>
                <w:color w:val="003639" w:themeColor="text1"/>
              </w:rPr>
              <w:t xml:space="preserve"> studies and systematic reviews as being associated with sexual assault </w:t>
            </w:r>
            <w:r w:rsidRPr="00510944">
              <w:rPr>
                <w:b/>
                <w:bCs/>
                <w:color w:val="003639" w:themeColor="text1"/>
              </w:rPr>
              <w:t>perpetration</w:t>
            </w:r>
            <w:r w:rsidRPr="00510944">
              <w:rPr>
                <w:color w:val="003639" w:themeColor="text1"/>
              </w:rPr>
              <w:t xml:space="preserve"> later in life.</w:t>
            </w:r>
            <w:r w:rsidRPr="00510944">
              <w:rPr>
                <w:noProof/>
                <w:color w:val="003639" w:themeColor="text1"/>
                <w:vertAlign w:val="superscript"/>
              </w:rPr>
              <w:t>6,38-42</w:t>
            </w:r>
          </w:p>
          <w:p w14:paraId="1C425A6C" w14:textId="1BC27490" w:rsidR="00522A5F" w:rsidRPr="00510944" w:rsidRDefault="00522A5F" w:rsidP="00861D6F">
            <w:pPr>
              <w:pStyle w:val="ListParagraph"/>
              <w:numPr>
                <w:ilvl w:val="0"/>
                <w:numId w:val="94"/>
              </w:numPr>
              <w:rPr>
                <w:color w:val="003639" w:themeColor="text1"/>
              </w:rPr>
            </w:pPr>
            <w:r w:rsidRPr="00510944">
              <w:rPr>
                <w:color w:val="003639" w:themeColor="text1"/>
              </w:rPr>
              <w:t xml:space="preserve">Prior exposure to and experiences of IPV is associated with sexual assault </w:t>
            </w:r>
            <w:r w:rsidRPr="00510944">
              <w:rPr>
                <w:b/>
                <w:bCs/>
                <w:color w:val="003639" w:themeColor="text1"/>
              </w:rPr>
              <w:t>perpetration</w:t>
            </w:r>
            <w:r w:rsidRPr="00510944">
              <w:rPr>
                <w:color w:val="003639" w:themeColor="text1"/>
              </w:rPr>
              <w:t xml:space="preserve"> in adolescence and in adulthood.</w:t>
            </w:r>
            <w:r w:rsidRPr="00510944">
              <w:rPr>
                <w:noProof/>
                <w:color w:val="003639" w:themeColor="text1"/>
                <w:vertAlign w:val="superscript"/>
              </w:rPr>
              <w:t>41,43</w:t>
            </w:r>
          </w:p>
          <w:p w14:paraId="38939576" w14:textId="0DFE76CE" w:rsidR="00522A5F" w:rsidRPr="00510944" w:rsidRDefault="00522A5F" w:rsidP="00861D6F">
            <w:pPr>
              <w:pStyle w:val="ListParagraph"/>
              <w:numPr>
                <w:ilvl w:val="0"/>
                <w:numId w:val="94"/>
              </w:numPr>
              <w:rPr>
                <w:color w:val="003639" w:themeColor="text1"/>
              </w:rPr>
            </w:pPr>
            <w:r w:rsidRPr="00510944">
              <w:rPr>
                <w:color w:val="003639" w:themeColor="text1"/>
              </w:rPr>
              <w:t>Prior sexual violence experience in adolescence is also associated with increased likelihood of experiencing future sexual victimization.</w:t>
            </w:r>
            <w:r w:rsidRPr="00510944">
              <w:rPr>
                <w:noProof/>
                <w:color w:val="003639" w:themeColor="text1"/>
                <w:vertAlign w:val="superscript"/>
              </w:rPr>
              <w:t>44</w:t>
            </w:r>
          </w:p>
          <w:p w14:paraId="10D99A80" w14:textId="77777777" w:rsidR="00522A5F" w:rsidRPr="00510944" w:rsidRDefault="00522A5F" w:rsidP="009E59BD">
            <w:pPr>
              <w:rPr>
                <w:b/>
                <w:bCs/>
                <w:color w:val="003639" w:themeColor="text1"/>
              </w:rPr>
            </w:pPr>
          </w:p>
          <w:p w14:paraId="33DDB681" w14:textId="73D7FD50" w:rsidR="00EC3274" w:rsidRPr="00510944" w:rsidRDefault="00522A5F" w:rsidP="009E59BD">
            <w:pPr>
              <w:rPr>
                <w:color w:val="003639" w:themeColor="text1"/>
              </w:rPr>
            </w:pPr>
            <w:r w:rsidRPr="00510944">
              <w:rPr>
                <w:b/>
                <w:bCs/>
                <w:color w:val="003639" w:themeColor="text1"/>
              </w:rPr>
              <w:t>Factors that weaken prosocial</w:t>
            </w:r>
            <w:r w:rsidRPr="00510944">
              <w:rPr>
                <w:color w:val="003639" w:themeColor="text1"/>
              </w:rPr>
              <w:t xml:space="preserve"> behaviour and reduce empathy, respect and concern for women. These factors include:</w:t>
            </w:r>
          </w:p>
          <w:p w14:paraId="783A752E" w14:textId="54B8E03A" w:rsidR="00522A5F" w:rsidRPr="00510944" w:rsidRDefault="00522A5F" w:rsidP="00EC3274">
            <w:pPr>
              <w:pStyle w:val="ListParagraph"/>
              <w:numPr>
                <w:ilvl w:val="0"/>
                <w:numId w:val="95"/>
              </w:numPr>
              <w:rPr>
                <w:color w:val="003639" w:themeColor="text1"/>
              </w:rPr>
            </w:pPr>
            <w:r w:rsidRPr="00510944">
              <w:rPr>
                <w:b/>
                <w:bCs/>
                <w:color w:val="003639" w:themeColor="text1"/>
                <w:lang w:bidi="en-US"/>
              </w:rPr>
              <w:t>Consumption of Alcohol</w:t>
            </w:r>
            <w:r w:rsidRPr="00510944">
              <w:rPr>
                <w:color w:val="003639" w:themeColor="text1"/>
                <w:lang w:bidi="en-US"/>
              </w:rPr>
              <w:t xml:space="preserve"> and other drug</w:t>
            </w:r>
            <w:r w:rsidRPr="00510944">
              <w:rPr>
                <w:b/>
                <w:bCs/>
                <w:color w:val="003639" w:themeColor="text1"/>
                <w:lang w:bidi="en-US"/>
              </w:rPr>
              <w:t xml:space="preserve"> </w:t>
            </w:r>
            <w:r w:rsidRPr="00510944">
              <w:rPr>
                <w:color w:val="003639" w:themeColor="text1"/>
              </w:rPr>
              <w:t>by both victims and perpetrators is a common situational factor in incidents of sexual assault however, the role that it plays in the facilitation of sexual assault is less clear.</w:t>
            </w:r>
            <w:r w:rsidRPr="00510944">
              <w:rPr>
                <w:noProof/>
                <w:color w:val="003639" w:themeColor="text1"/>
                <w:vertAlign w:val="superscript"/>
              </w:rPr>
              <w:t>45</w:t>
            </w:r>
            <w:r w:rsidR="00EC3274" w:rsidRPr="00510944">
              <w:rPr>
                <w:noProof/>
                <w:color w:val="003639" w:themeColor="text1"/>
                <w:vertAlign w:val="superscript"/>
              </w:rPr>
              <w:t xml:space="preserve"> </w:t>
            </w:r>
            <w:r w:rsidRPr="00510944">
              <w:rPr>
                <w:color w:val="003639" w:themeColor="text1"/>
                <w:lang w:bidi="en-US"/>
              </w:rPr>
              <w:t>There are a range of pathways through which alcohol is seen to influence the occurrence of sexual assault which include:</w:t>
            </w:r>
          </w:p>
          <w:p w14:paraId="75AE5AF9" w14:textId="77777777" w:rsidR="00522A5F" w:rsidRPr="00510944" w:rsidRDefault="00522A5F" w:rsidP="00EC3274">
            <w:pPr>
              <w:pStyle w:val="ListParagraph"/>
              <w:numPr>
                <w:ilvl w:val="1"/>
                <w:numId w:val="95"/>
              </w:numPr>
              <w:rPr>
                <w:color w:val="003639" w:themeColor="text1"/>
              </w:rPr>
            </w:pPr>
            <w:r w:rsidRPr="00510944">
              <w:rPr>
                <w:b/>
                <w:bCs/>
                <w:color w:val="003639" w:themeColor="text1"/>
              </w:rPr>
              <w:t>Impaired cognitive functioning:</w:t>
            </w:r>
            <w:r w:rsidRPr="00510944">
              <w:rPr>
                <w:color w:val="003639" w:themeColor="text1"/>
              </w:rPr>
              <w:t xml:space="preserve"> impaired ability to read social cues, such as non-consent; impaired ability to assess risk. </w:t>
            </w:r>
          </w:p>
          <w:p w14:paraId="3CE4E6A3" w14:textId="77777777" w:rsidR="00522A5F" w:rsidRPr="00510944" w:rsidRDefault="00522A5F" w:rsidP="00EC3274">
            <w:pPr>
              <w:pStyle w:val="ListParagraph"/>
              <w:numPr>
                <w:ilvl w:val="1"/>
                <w:numId w:val="95"/>
              </w:numPr>
              <w:rPr>
                <w:color w:val="003639" w:themeColor="text1"/>
              </w:rPr>
            </w:pPr>
            <w:r w:rsidRPr="00510944">
              <w:rPr>
                <w:b/>
                <w:bCs/>
                <w:color w:val="003639" w:themeColor="text1"/>
              </w:rPr>
              <w:t>Disinhibition</w:t>
            </w:r>
            <w:r w:rsidRPr="00510944">
              <w:rPr>
                <w:color w:val="003639" w:themeColor="text1"/>
              </w:rPr>
              <w:t xml:space="preserve">: increased aggression; impaired impulse control. </w:t>
            </w:r>
          </w:p>
          <w:p w14:paraId="3470CF83" w14:textId="77777777" w:rsidR="00522A5F" w:rsidRPr="00510944" w:rsidRDefault="00522A5F" w:rsidP="00EC3274">
            <w:pPr>
              <w:pStyle w:val="ListParagraph"/>
              <w:numPr>
                <w:ilvl w:val="1"/>
                <w:numId w:val="95"/>
              </w:numPr>
              <w:rPr>
                <w:color w:val="003639" w:themeColor="text1"/>
              </w:rPr>
            </w:pPr>
            <w:r w:rsidRPr="00510944">
              <w:rPr>
                <w:b/>
                <w:bCs/>
                <w:color w:val="003639" w:themeColor="text1"/>
              </w:rPr>
              <w:t>Alcohol expectancies</w:t>
            </w:r>
            <w:r w:rsidRPr="00510944">
              <w:rPr>
                <w:color w:val="003639" w:themeColor="text1"/>
              </w:rPr>
              <w:t>: beliefs and norms about the effects of alcohol on confidence, sexual desire, and sexual availability.</w:t>
            </w:r>
          </w:p>
          <w:p w14:paraId="66D59553" w14:textId="62C6364C" w:rsidR="00522A5F" w:rsidRPr="00510944" w:rsidRDefault="00522A5F" w:rsidP="00EC3274">
            <w:pPr>
              <w:pStyle w:val="ListParagraph"/>
              <w:numPr>
                <w:ilvl w:val="1"/>
                <w:numId w:val="95"/>
              </w:numPr>
              <w:rPr>
                <w:color w:val="003639" w:themeColor="text1"/>
              </w:rPr>
            </w:pPr>
            <w:r w:rsidRPr="00510944">
              <w:rPr>
                <w:b/>
                <w:bCs/>
                <w:color w:val="003639" w:themeColor="text1"/>
              </w:rPr>
              <w:t>Incapacitation</w:t>
            </w:r>
            <w:r w:rsidRPr="00510944">
              <w:rPr>
                <w:color w:val="003639" w:themeColor="text1"/>
              </w:rPr>
              <w:t>: Victims inability to consent; Perpetrators deliberate incapacitation of the victim or targeting of an incapacitated person.</w:t>
            </w:r>
            <w:r w:rsidRPr="00510944">
              <w:rPr>
                <w:noProof/>
                <w:color w:val="003639" w:themeColor="text1"/>
                <w:vertAlign w:val="superscript"/>
              </w:rPr>
              <w:t>46</w:t>
            </w:r>
          </w:p>
          <w:p w14:paraId="2ACE8EF5" w14:textId="77777777" w:rsidR="00522A5F" w:rsidRPr="00510944" w:rsidRDefault="00522A5F" w:rsidP="00EC3274">
            <w:pPr>
              <w:pStyle w:val="ListParagraph"/>
              <w:rPr>
                <w:color w:val="003639" w:themeColor="text1"/>
              </w:rPr>
            </w:pPr>
            <w:r w:rsidRPr="00510944">
              <w:rPr>
                <w:color w:val="003639" w:themeColor="text1"/>
              </w:rPr>
              <w:t>Alcohol consumption is not an excuse for perpetration and victim survivors should not be blamed for having consumed alcohol.</w:t>
            </w:r>
          </w:p>
          <w:p w14:paraId="514F25DE" w14:textId="77777777" w:rsidR="00522A5F" w:rsidRPr="00510944" w:rsidRDefault="00522A5F" w:rsidP="00EC3274">
            <w:pPr>
              <w:pStyle w:val="ListParagraph"/>
              <w:numPr>
                <w:ilvl w:val="0"/>
                <w:numId w:val="95"/>
              </w:numPr>
              <w:rPr>
                <w:color w:val="003639" w:themeColor="text1"/>
              </w:rPr>
            </w:pPr>
            <w:r w:rsidRPr="00510944">
              <w:rPr>
                <w:b/>
                <w:bCs/>
                <w:color w:val="003639" w:themeColor="text1"/>
              </w:rPr>
              <w:t>Exposure to violent pornography, impersonal sex orientation, and hostile masculinity</w:t>
            </w:r>
            <w:r w:rsidRPr="00510944">
              <w:rPr>
                <w:color w:val="003639" w:themeColor="text1"/>
              </w:rPr>
              <w:t xml:space="preserve"> increases the likelihood of sexual aggression. </w:t>
            </w:r>
          </w:p>
          <w:p w14:paraId="646C9FD2" w14:textId="6AFFC50F" w:rsidR="00522A5F" w:rsidRPr="00510944" w:rsidRDefault="00522A5F" w:rsidP="00EC3274">
            <w:pPr>
              <w:pStyle w:val="ListParagraph"/>
              <w:numPr>
                <w:ilvl w:val="1"/>
                <w:numId w:val="95"/>
              </w:numPr>
              <w:rPr>
                <w:color w:val="003639" w:themeColor="text1"/>
                <w:lang w:eastAsia="en-GB"/>
              </w:rPr>
            </w:pPr>
            <w:r w:rsidRPr="00510944">
              <w:rPr>
                <w:color w:val="003639" w:themeColor="text1"/>
                <w:lang w:eastAsia="ja-JP"/>
              </w:rPr>
              <w:t xml:space="preserve">Results from the </w:t>
            </w:r>
            <w:r w:rsidRPr="00510944">
              <w:rPr>
                <w:i/>
                <w:iCs/>
                <w:color w:val="003639" w:themeColor="text1"/>
                <w:lang w:eastAsia="ja-JP"/>
              </w:rPr>
              <w:t>National survey of pornography use, relationships, and sexual socialization</w:t>
            </w:r>
            <w:r w:rsidRPr="00510944">
              <w:rPr>
                <w:color w:val="003639" w:themeColor="text1"/>
                <w:lang w:eastAsia="ja-JP"/>
              </w:rPr>
              <w:t xml:space="preserve"> found that 1) extreme pornography exposure and impersonal sexuality were both associated with a higher probability of sexual aggression and 2) men who were more exposed to pornography and are impersonal in their approach to sex were more likely to be </w:t>
            </w:r>
            <w:r w:rsidRPr="00510944">
              <w:rPr>
                <w:color w:val="003639" w:themeColor="text1"/>
                <w:lang w:eastAsia="ja-JP"/>
              </w:rPr>
              <w:lastRenderedPageBreak/>
              <w:t>sexually aggressive than men who were impersonal in their approach to sex but less exposed to pornography.</w:t>
            </w:r>
            <w:r w:rsidRPr="00510944">
              <w:rPr>
                <w:noProof/>
                <w:color w:val="003639" w:themeColor="text1"/>
                <w:vertAlign w:val="superscript"/>
                <w:lang w:eastAsia="ja-JP"/>
              </w:rPr>
              <w:t>47</w:t>
            </w:r>
            <w:r w:rsidRPr="00510944">
              <w:rPr>
                <w:color w:val="003639" w:themeColor="text1"/>
                <w:lang w:eastAsia="ja-JP"/>
              </w:rPr>
              <w:t xml:space="preserve"> </w:t>
            </w:r>
          </w:p>
          <w:p w14:paraId="363C23E4" w14:textId="2EE1481A" w:rsidR="00522A5F" w:rsidRPr="00510944" w:rsidRDefault="00522A5F" w:rsidP="00EC3274">
            <w:pPr>
              <w:pStyle w:val="ListParagraph"/>
              <w:numPr>
                <w:ilvl w:val="1"/>
                <w:numId w:val="95"/>
              </w:numPr>
              <w:rPr>
                <w:color w:val="003639" w:themeColor="text1"/>
              </w:rPr>
            </w:pPr>
            <w:r w:rsidRPr="00510944">
              <w:rPr>
                <w:color w:val="003639" w:themeColor="text1"/>
                <w:lang w:eastAsia="ja-JP"/>
              </w:rPr>
              <w:t>Consumption of pornography is associated with sexual aggression among both males and females.</w:t>
            </w:r>
            <w:r w:rsidRPr="00510944">
              <w:rPr>
                <w:noProof/>
                <w:color w:val="003639" w:themeColor="text1"/>
                <w:vertAlign w:val="superscript"/>
                <w:lang w:eastAsia="ja-JP"/>
              </w:rPr>
              <w:t>48</w:t>
            </w:r>
            <w:r w:rsidRPr="00510944">
              <w:rPr>
                <w:color w:val="003639" w:themeColor="text1"/>
                <w:lang w:eastAsia="ja-JP"/>
              </w:rPr>
              <w:t xml:space="preserve"> </w:t>
            </w:r>
          </w:p>
          <w:p w14:paraId="3C39AB2F" w14:textId="77777777" w:rsidR="00522A5F" w:rsidRPr="00510944" w:rsidRDefault="00522A5F" w:rsidP="009E59BD">
            <w:pPr>
              <w:rPr>
                <w:color w:val="003639" w:themeColor="text1"/>
                <w:lang w:eastAsia="ja-JP"/>
              </w:rPr>
            </w:pPr>
          </w:p>
          <w:p w14:paraId="0B68FD40" w14:textId="6ADC30C6" w:rsidR="00522A5F" w:rsidRPr="00510944" w:rsidRDefault="00522A5F" w:rsidP="009E59BD">
            <w:pPr>
              <w:rPr>
                <w:color w:val="003639" w:themeColor="text1"/>
              </w:rPr>
            </w:pPr>
            <w:r w:rsidRPr="00510944">
              <w:rPr>
                <w:b/>
                <w:bCs/>
                <w:color w:val="003639" w:themeColor="text1"/>
              </w:rPr>
              <w:t>Resistance and backlash</w:t>
            </w:r>
            <w:r w:rsidRPr="00510944">
              <w:rPr>
                <w:color w:val="003639" w:themeColor="text1"/>
              </w:rPr>
              <w:t xml:space="preserve"> to the prevention of violence against women and gender equality efforts including actions that seek to block change, uphold the status quo of gender relations, or re-establish male privilege and power.</w:t>
            </w:r>
          </w:p>
          <w:p w14:paraId="10E5AA25" w14:textId="77777777" w:rsidR="00BA3640" w:rsidRPr="00510944" w:rsidRDefault="00BA3640" w:rsidP="009E59BD">
            <w:pPr>
              <w:rPr>
                <w:color w:val="003639" w:themeColor="text1"/>
              </w:rPr>
            </w:pPr>
          </w:p>
          <w:p w14:paraId="64BDFC06" w14:textId="77777777" w:rsidR="005D6FCF" w:rsidRPr="00510944" w:rsidRDefault="00522A5F" w:rsidP="009E59BD">
            <w:pPr>
              <w:rPr>
                <w:color w:val="003639" w:themeColor="text1"/>
              </w:rPr>
            </w:pPr>
            <w:r w:rsidRPr="00510944">
              <w:rPr>
                <w:b/>
                <w:bCs/>
                <w:color w:val="003639" w:themeColor="text1"/>
              </w:rPr>
              <w:t>Individual characteristics</w:t>
            </w:r>
            <w:r w:rsidRPr="00510944">
              <w:rPr>
                <w:color w:val="003639" w:themeColor="text1"/>
              </w:rPr>
              <w:t xml:space="preserve"> have also been associated with sexual assault perpetration and victimization including, mental ill health and cognitive disability.</w:t>
            </w:r>
          </w:p>
          <w:p w14:paraId="59DA2C74" w14:textId="77777777" w:rsidR="005D6FCF" w:rsidRPr="00510944" w:rsidRDefault="005D6FCF" w:rsidP="009E59BD">
            <w:pPr>
              <w:rPr>
                <w:b/>
                <w:bCs/>
                <w:color w:val="003639" w:themeColor="text1"/>
              </w:rPr>
            </w:pPr>
          </w:p>
          <w:p w14:paraId="55C82530" w14:textId="677A4C9E" w:rsidR="00522A5F" w:rsidRPr="00510944" w:rsidRDefault="00522A5F" w:rsidP="009E59BD">
            <w:pPr>
              <w:rPr>
                <w:color w:val="003639" w:themeColor="text1"/>
              </w:rPr>
            </w:pPr>
            <w:r w:rsidRPr="00510944">
              <w:rPr>
                <w:b/>
                <w:bCs/>
                <w:color w:val="003639" w:themeColor="text1"/>
              </w:rPr>
              <w:t>Previous perpetration</w:t>
            </w:r>
            <w:r w:rsidRPr="00510944">
              <w:rPr>
                <w:color w:val="003639" w:themeColor="text1"/>
              </w:rPr>
              <w:t xml:space="preserve"> is also a factor associated with sexual assault. </w:t>
            </w:r>
          </w:p>
          <w:p w14:paraId="7A479154" w14:textId="55BD0BA2" w:rsidR="00522A5F" w:rsidRPr="00510944" w:rsidRDefault="00522A5F" w:rsidP="009E59BD">
            <w:pPr>
              <w:rPr>
                <w:rFonts w:cs="Times New Roman"/>
                <w:color w:val="003639" w:themeColor="text1"/>
                <w:lang w:eastAsia="en-AU"/>
              </w:rPr>
            </w:pPr>
            <w:r w:rsidRPr="00510944">
              <w:rPr>
                <w:color w:val="003639" w:themeColor="text1"/>
              </w:rPr>
              <w:t>Of college men who reported perpetrating at least one incident of sexual coercion and assault, 68% engaged in repeated sexual coercion. Repeat offenders engaging in aggressive acts of higher severity began at an earlier age.</w:t>
            </w:r>
            <w:r w:rsidRPr="00510944">
              <w:rPr>
                <w:noProof/>
                <w:color w:val="003639" w:themeColor="text1"/>
                <w:vertAlign w:val="superscript"/>
              </w:rPr>
              <w:t>49</w:t>
            </w:r>
          </w:p>
        </w:tc>
      </w:tr>
      <w:tr w:rsidR="00510944" w:rsidRPr="00510944" w14:paraId="77157DD1" w14:textId="77777777" w:rsidTr="006B3855">
        <w:trPr>
          <w:trHeight w:val="418"/>
        </w:trPr>
        <w:tc>
          <w:tcPr>
            <w:tcW w:w="1917" w:type="dxa"/>
          </w:tcPr>
          <w:p w14:paraId="45F8C6F9" w14:textId="77777777" w:rsidR="00522A5F" w:rsidRPr="00510944" w:rsidRDefault="00522A5F" w:rsidP="003C2317">
            <w:pPr>
              <w:rPr>
                <w:rFonts w:eastAsia="Times New Roman"/>
                <w:b/>
                <w:bCs/>
                <w:color w:val="003639" w:themeColor="text1"/>
                <w:lang w:eastAsia="en-AU" w:bidi="en-US"/>
              </w:rPr>
            </w:pPr>
            <w:r w:rsidRPr="00510944">
              <w:rPr>
                <w:b/>
                <w:bCs/>
                <w:color w:val="003639" w:themeColor="text1"/>
                <w:lang w:eastAsia="en-AU" w:bidi="en-US"/>
              </w:rPr>
              <w:lastRenderedPageBreak/>
              <w:t>Researcher’s overarching conceptualisation / analysis</w:t>
            </w:r>
          </w:p>
        </w:tc>
        <w:tc>
          <w:tcPr>
            <w:tcW w:w="8018" w:type="dxa"/>
          </w:tcPr>
          <w:p w14:paraId="73F609D5" w14:textId="037FB511" w:rsidR="00522A5F" w:rsidRPr="00510944" w:rsidRDefault="00522A5F" w:rsidP="003C2317">
            <w:pPr>
              <w:rPr>
                <w:noProof/>
                <w:color w:val="003639" w:themeColor="text1"/>
                <w:vertAlign w:val="superscript"/>
              </w:rPr>
            </w:pPr>
            <w:r w:rsidRPr="00510944">
              <w:rPr>
                <w:color w:val="003639" w:themeColor="text1"/>
              </w:rPr>
              <w:t>A whole of population approach to preventing sexual assault targets and seeks to change the conditions and factors that enable this violence to occur in the first place. The field of public health has long recognised that preventing harm before it occurs requires moving beyond individualised “risk” and “protective” factors to looking further upstream for the underlying conditions and enablers that create risk in the first instance.</w:t>
            </w:r>
            <w:r w:rsidRPr="00510944">
              <w:rPr>
                <w:noProof/>
                <w:color w:val="003639" w:themeColor="text1"/>
                <w:vertAlign w:val="superscript"/>
              </w:rPr>
              <w:t>50</w:t>
            </w:r>
            <w:r w:rsidRPr="00510944">
              <w:rPr>
                <w:color w:val="003639" w:themeColor="text1"/>
              </w:rPr>
              <w:t xml:space="preserve"> In health, these have been termed the “determinants of health”, which is used to refer to the environmental, social and economic structures that influence the likelihood of harm occurring.</w:t>
            </w:r>
            <w:r w:rsidRPr="00510944">
              <w:rPr>
                <w:noProof/>
                <w:color w:val="003639" w:themeColor="text1"/>
                <w:vertAlign w:val="superscript"/>
              </w:rPr>
              <w:t>51</w:t>
            </w:r>
            <w:r w:rsidRPr="00510944">
              <w:rPr>
                <w:color w:val="003639" w:themeColor="text1"/>
              </w:rPr>
              <w:t xml:space="preserve"> At a community or population level, it is inequities within these structures that shape health outcomes more than individual differences.</w:t>
            </w:r>
            <w:r w:rsidRPr="00510944">
              <w:rPr>
                <w:noProof/>
                <w:color w:val="003639" w:themeColor="text1"/>
                <w:vertAlign w:val="superscript"/>
              </w:rPr>
              <w:t>52</w:t>
            </w:r>
          </w:p>
          <w:p w14:paraId="45E178FD" w14:textId="77777777" w:rsidR="003C2317" w:rsidRPr="00510944" w:rsidRDefault="003C2317" w:rsidP="003C2317">
            <w:pPr>
              <w:rPr>
                <w:color w:val="003639" w:themeColor="text1"/>
              </w:rPr>
            </w:pPr>
          </w:p>
          <w:p w14:paraId="40E4263E" w14:textId="16078082" w:rsidR="00522A5F" w:rsidRPr="00510944" w:rsidRDefault="00522A5F" w:rsidP="003C2317">
            <w:pPr>
              <w:rPr>
                <w:noProof/>
                <w:color w:val="003639" w:themeColor="text1"/>
                <w:vertAlign w:val="superscript"/>
              </w:rPr>
            </w:pPr>
            <w:r w:rsidRPr="00510944">
              <w:rPr>
                <w:color w:val="003639" w:themeColor="text1"/>
              </w:rPr>
              <w:t>In relation to sexual violence, “rather than focusing on individual risk factors for either sexual violence perpetration or victimisation, many scholars conversely argue that the focus instead should be on the social structures that underpin the perpetration of sexual violence.”</w:t>
            </w:r>
            <w:r w:rsidRPr="00510944">
              <w:rPr>
                <w:noProof/>
                <w:color w:val="003639" w:themeColor="text1"/>
                <w:vertAlign w:val="superscript"/>
              </w:rPr>
              <w:t>53</w:t>
            </w:r>
            <w:r w:rsidR="00A3589F" w:rsidRPr="00510944">
              <w:rPr>
                <w:noProof/>
                <w:color w:val="003639" w:themeColor="text1"/>
                <w:vertAlign w:val="superscript"/>
              </w:rPr>
              <w:t>(</w:t>
            </w:r>
            <w:r w:rsidRPr="00510944">
              <w:rPr>
                <w:noProof/>
                <w:color w:val="003639" w:themeColor="text1"/>
                <w:vertAlign w:val="superscript"/>
              </w:rPr>
              <w:t>p.2</w:t>
            </w:r>
            <w:r w:rsidR="00A3589F" w:rsidRPr="00510944">
              <w:rPr>
                <w:noProof/>
                <w:color w:val="003639" w:themeColor="text1"/>
                <w:vertAlign w:val="superscript"/>
              </w:rPr>
              <w:t>)</w:t>
            </w:r>
            <w:r w:rsidRPr="00510944">
              <w:rPr>
                <w:color w:val="003639" w:themeColor="text1"/>
              </w:rPr>
              <w:t xml:space="preserve"> </w:t>
            </w:r>
            <w:r w:rsidRPr="00510944">
              <w:rPr>
                <w:i/>
                <w:iCs/>
                <w:color w:val="003639" w:themeColor="text1"/>
              </w:rPr>
              <w:t>Change the story</w:t>
            </w:r>
            <w:r w:rsidRPr="00510944">
              <w:rPr>
                <w:color w:val="003639" w:themeColor="text1"/>
              </w:rPr>
              <w:t xml:space="preserve"> draws on the extensive evidence base on violence against women and adapts the concept of determinants as </w:t>
            </w:r>
            <w:r w:rsidRPr="00510944">
              <w:rPr>
                <w:b/>
                <w:bCs/>
                <w:i/>
                <w:iCs/>
                <w:color w:val="003639" w:themeColor="text1"/>
              </w:rPr>
              <w:t>key drivers</w:t>
            </w:r>
            <w:r w:rsidRPr="00510944">
              <w:rPr>
                <w:color w:val="003639" w:themeColor="text1"/>
              </w:rPr>
              <w:t xml:space="preserve"> and </w:t>
            </w:r>
            <w:r w:rsidRPr="00510944">
              <w:rPr>
                <w:b/>
                <w:bCs/>
                <w:i/>
                <w:iCs/>
                <w:color w:val="003639" w:themeColor="text1"/>
              </w:rPr>
              <w:t>reinforcing factors</w:t>
            </w:r>
            <w:r w:rsidRPr="00510944">
              <w:rPr>
                <w:color w:val="003639" w:themeColor="text1"/>
              </w:rPr>
              <w:t xml:space="preserve"> that enable violence to occur.</w:t>
            </w:r>
            <w:r w:rsidRPr="00510944">
              <w:rPr>
                <w:noProof/>
                <w:color w:val="003639" w:themeColor="text1"/>
                <w:vertAlign w:val="superscript"/>
              </w:rPr>
              <w:t>54</w:t>
            </w:r>
          </w:p>
          <w:p w14:paraId="15AD976C" w14:textId="77777777" w:rsidR="008560C8" w:rsidRPr="00510944" w:rsidRDefault="008560C8" w:rsidP="003C2317">
            <w:pPr>
              <w:rPr>
                <w:color w:val="003639" w:themeColor="text1"/>
              </w:rPr>
            </w:pPr>
          </w:p>
          <w:p w14:paraId="0B9BE7BA" w14:textId="77777777" w:rsidR="00522A5F" w:rsidRPr="00510944" w:rsidRDefault="00522A5F" w:rsidP="003C2317">
            <w:pPr>
              <w:rPr>
                <w:color w:val="003639" w:themeColor="text1"/>
              </w:rPr>
            </w:pPr>
            <w:r w:rsidRPr="00510944">
              <w:rPr>
                <w:color w:val="003639" w:themeColor="text1"/>
              </w:rPr>
              <w:t>Research in this arena makes it clear that the gendered drivers of men’s violence against women have significant salience in relation to non-partner sexual assault perpetrated across cohorts. It is also acknowledged that other systematic and structural forms of discrimination and oppression such as ableism, ageism, colonization, race-based discrimination and h</w:t>
            </w:r>
            <w:proofErr w:type="spellStart"/>
            <w:r w:rsidRPr="00510944">
              <w:rPr>
                <w:color w:val="003639" w:themeColor="text1"/>
                <w:lang w:val="en-GB"/>
              </w:rPr>
              <w:t>eteronormativity</w:t>
            </w:r>
            <w:proofErr w:type="spellEnd"/>
            <w:r w:rsidRPr="00510944">
              <w:rPr>
                <w:color w:val="003639" w:themeColor="text1"/>
                <w:lang w:val="en-GB"/>
              </w:rPr>
              <w:t xml:space="preserve">, cisnormativity, homo-, bi- and transphobia </w:t>
            </w:r>
            <w:r w:rsidRPr="00510944">
              <w:rPr>
                <w:color w:val="003639" w:themeColor="text1"/>
              </w:rPr>
              <w:t xml:space="preserve">escalate the prevalence of non-partner sexual assault perpetrated across individual cohorts. </w:t>
            </w:r>
          </w:p>
        </w:tc>
      </w:tr>
    </w:tbl>
    <w:p w14:paraId="321E5031" w14:textId="53EBC4A9" w:rsidR="004144B4" w:rsidRPr="000B4296" w:rsidRDefault="004144B4" w:rsidP="00CE2F77">
      <w:pPr>
        <w:pStyle w:val="Heading2"/>
      </w:pPr>
      <w:r w:rsidRPr="000B4296">
        <w:lastRenderedPageBreak/>
        <w:t>References</w:t>
      </w:r>
    </w:p>
    <w:p w14:paraId="32EC8563" w14:textId="7AA8F98A" w:rsidR="0015523F" w:rsidRPr="008D7C98" w:rsidRDefault="0015523F" w:rsidP="0015523F">
      <w:pPr>
        <w:pStyle w:val="ListParagraph"/>
        <w:numPr>
          <w:ilvl w:val="0"/>
          <w:numId w:val="97"/>
        </w:numPr>
        <w:rPr>
          <w:noProof/>
        </w:rPr>
      </w:pPr>
      <w:r w:rsidRPr="008D7C98">
        <w:rPr>
          <w:noProof/>
        </w:rPr>
        <w:t xml:space="preserve">Australian Bureau of Statistics. Personal Safety, Australia, 2021-22 Canberra: Australian Bureau of Statistics; 2023 [Available from: </w:t>
      </w:r>
      <w:hyperlink r:id="rId15" w:anchor="data-downloads" w:history="1">
        <w:r w:rsidR="00071C2E" w:rsidRPr="00DB581B">
          <w:rPr>
            <w:rStyle w:val="Hyperlink"/>
            <w:rFonts w:ascii="Arial" w:hAnsi="Arial"/>
          </w:rPr>
          <w:t>https://www.abs.gov.au/</w:t>
        </w:r>
        <w:r w:rsidR="00071C2E" w:rsidRPr="007D55B3">
          <w:rPr>
            <w:rStyle w:val="FollowedHyperlink"/>
          </w:rPr>
          <w:t>statistics</w:t>
        </w:r>
        <w:r w:rsidR="00071C2E" w:rsidRPr="00DB581B">
          <w:rPr>
            <w:rStyle w:val="Hyperlink"/>
            <w:rFonts w:ascii="Arial" w:hAnsi="Arial"/>
          </w:rPr>
          <w:t>/people/crime-and-justice/personal-safety-australia/latest-release#data-downloads</w:t>
        </w:r>
      </w:hyperlink>
      <w:r w:rsidR="00071C2E">
        <w:rPr>
          <w:u w:color="FF4900"/>
        </w:rPr>
        <w:t>]</w:t>
      </w:r>
      <w:r w:rsidRPr="008D7C98">
        <w:rPr>
          <w:noProof/>
        </w:rPr>
        <w:t>.</w:t>
      </w:r>
    </w:p>
    <w:p w14:paraId="36C5FFC1" w14:textId="7D4AE0EB" w:rsidR="0015523F" w:rsidRPr="008D7C98" w:rsidRDefault="0015523F" w:rsidP="0015523F">
      <w:pPr>
        <w:pStyle w:val="ListParagraph"/>
        <w:numPr>
          <w:ilvl w:val="0"/>
          <w:numId w:val="97"/>
        </w:numPr>
        <w:rPr>
          <w:noProof/>
        </w:rPr>
      </w:pPr>
      <w:r w:rsidRPr="008D7C98">
        <w:rPr>
          <w:noProof/>
        </w:rPr>
        <w:t xml:space="preserve">Australian Bureau of Statistics. Personal Safety, Australia, 20162017. </w:t>
      </w:r>
      <w:r w:rsidR="003C0758">
        <w:rPr>
          <w:noProof/>
        </w:rPr>
        <w:t>[</w:t>
      </w:r>
      <w:r w:rsidRPr="008D7C98">
        <w:rPr>
          <w:noProof/>
        </w:rPr>
        <w:t xml:space="preserve">Available from: </w:t>
      </w:r>
      <w:hyperlink r:id="rId16" w:history="1">
        <w:r w:rsidR="003C0758" w:rsidRPr="00DB581B">
          <w:rPr>
            <w:rStyle w:val="Hyperlink"/>
            <w:rFonts w:ascii="Arial" w:hAnsi="Arial"/>
          </w:rPr>
          <w:t>https://www.abs.gov.au/statistics/people/crime-and-justice/personal-safety-australia/latest-release</w:t>
        </w:r>
      </w:hyperlink>
      <w:r w:rsidR="003C0758">
        <w:rPr>
          <w:u w:color="FF4900"/>
        </w:rPr>
        <w:t>]</w:t>
      </w:r>
      <w:r w:rsidRPr="008D7C98">
        <w:rPr>
          <w:noProof/>
        </w:rPr>
        <w:t>.</w:t>
      </w:r>
    </w:p>
    <w:p w14:paraId="64F17251" w14:textId="47C954CB" w:rsidR="0015523F" w:rsidRPr="008D7C98" w:rsidRDefault="0015523F" w:rsidP="0015523F">
      <w:pPr>
        <w:pStyle w:val="ListParagraph"/>
        <w:numPr>
          <w:ilvl w:val="0"/>
          <w:numId w:val="97"/>
        </w:numPr>
        <w:rPr>
          <w:noProof/>
        </w:rPr>
      </w:pPr>
      <w:r w:rsidRPr="008D7C98">
        <w:rPr>
          <w:noProof/>
        </w:rPr>
        <w:t>Budd KM, Mancini C, Bierie DM. Parks, Playgrounds, and Incidents of Sexual Assault. Sexual Abuse. 2019;31(5):580-606.</w:t>
      </w:r>
    </w:p>
    <w:p w14:paraId="1DBB7A26" w14:textId="47DF632B" w:rsidR="0015523F" w:rsidRPr="008D7C98" w:rsidRDefault="0015523F" w:rsidP="0015523F">
      <w:pPr>
        <w:pStyle w:val="ListParagraph"/>
        <w:numPr>
          <w:ilvl w:val="0"/>
          <w:numId w:val="97"/>
        </w:numPr>
        <w:rPr>
          <w:noProof/>
        </w:rPr>
      </w:pPr>
      <w:r w:rsidRPr="008D7C98">
        <w:rPr>
          <w:noProof/>
        </w:rPr>
        <w:t>Ministry of Justice. New Zealand Crime and Victims Survey. Cycle 4 survey findings. Descriptive statistics. June 2022. Results drawn from Cycle 4 (2020/21) of the New Zealand Crime and Victims Survey2022.</w:t>
      </w:r>
    </w:p>
    <w:p w14:paraId="3C49CCC9" w14:textId="0FF6E1C1" w:rsidR="0015523F" w:rsidRPr="008D7C98" w:rsidRDefault="0015523F" w:rsidP="0015523F">
      <w:pPr>
        <w:pStyle w:val="ListParagraph"/>
        <w:numPr>
          <w:ilvl w:val="0"/>
          <w:numId w:val="97"/>
        </w:numPr>
        <w:rPr>
          <w:noProof/>
        </w:rPr>
      </w:pPr>
      <w:r w:rsidRPr="008D7C98">
        <w:rPr>
          <w:noProof/>
        </w:rPr>
        <w:t>Mumford EA, Potter S, Taylor BG, Stapleton J. Sexual Harassment and Sexual Assault in Early Adulthood: National Estimates for College and Non-College Students. Public Health Rep. 2020;135(5):555-9.</w:t>
      </w:r>
    </w:p>
    <w:p w14:paraId="764211B5" w14:textId="39C7B42A" w:rsidR="0015523F" w:rsidRPr="008D7C98" w:rsidRDefault="0015523F" w:rsidP="0015523F">
      <w:pPr>
        <w:pStyle w:val="ListParagraph"/>
        <w:numPr>
          <w:ilvl w:val="0"/>
          <w:numId w:val="97"/>
        </w:numPr>
        <w:rPr>
          <w:noProof/>
        </w:rPr>
      </w:pPr>
      <w:r w:rsidRPr="008D7C98">
        <w:rPr>
          <w:noProof/>
        </w:rPr>
        <w:t>Townsend N, Loxton D, Egan N, Barnes I, Byrnes E, Forder P. A life course approach to determining the prevalence and impact of sexual violence in Australia: Findings from the Australian Longitudinal Study on Women’s Health. Sydney: ANROWS; 2022.</w:t>
      </w:r>
    </w:p>
    <w:p w14:paraId="5FAE5306" w14:textId="59AE0819" w:rsidR="0015523F" w:rsidRPr="008D7C98" w:rsidRDefault="0015523F" w:rsidP="0015523F">
      <w:pPr>
        <w:pStyle w:val="ListParagraph"/>
        <w:numPr>
          <w:ilvl w:val="0"/>
          <w:numId w:val="97"/>
        </w:numPr>
        <w:rPr>
          <w:noProof/>
        </w:rPr>
      </w:pPr>
      <w:r w:rsidRPr="008D7C98">
        <w:rPr>
          <w:noProof/>
        </w:rPr>
        <w:t>Heerde JA, Scholes-Balog KE, Hemphill SA. Associations Between Youth Homelessness, Sexual Offenses, Sexual Victimization, and Sexual Risk Behaviors: A Systematic Literature Review. Archives of Sexual Behavior. 2015;44(1):181-212.</w:t>
      </w:r>
    </w:p>
    <w:p w14:paraId="3DB3FA33" w14:textId="196BC857" w:rsidR="0015523F" w:rsidRPr="008D7C98" w:rsidRDefault="0015523F" w:rsidP="0015523F">
      <w:pPr>
        <w:pStyle w:val="ListParagraph"/>
        <w:numPr>
          <w:ilvl w:val="0"/>
          <w:numId w:val="97"/>
        </w:numPr>
        <w:rPr>
          <w:noProof/>
        </w:rPr>
      </w:pPr>
      <w:r w:rsidRPr="008D7C98">
        <w:rPr>
          <w:noProof/>
        </w:rPr>
        <w:t>Fedina L, Holmes JL, Backes BL. Campus Sexual Assault: A Systematic Review of Prevalence Research From 2000 to 2015. Trauma Violence Abuse. 2018;19(1):76-93.</w:t>
      </w:r>
    </w:p>
    <w:p w14:paraId="3C925B62" w14:textId="3762A9DC" w:rsidR="0015523F" w:rsidRPr="008D7C98" w:rsidRDefault="0015523F" w:rsidP="0015523F">
      <w:pPr>
        <w:pStyle w:val="ListParagraph"/>
        <w:numPr>
          <w:ilvl w:val="0"/>
          <w:numId w:val="97"/>
        </w:numPr>
        <w:rPr>
          <w:noProof/>
        </w:rPr>
      </w:pPr>
      <w:r w:rsidRPr="008D7C98">
        <w:rPr>
          <w:noProof/>
        </w:rPr>
        <w:t>Koss MP, Swartout KM, Lopez EC, Lamade RV, Anderson EJ, Brennan CL, Prentky RA. The Scope of Rape Victimization and Perpetration Among National Samples of College Students Across 30 years. J Interpers Violence. 2022;37(1-2):Np25-np47.</w:t>
      </w:r>
    </w:p>
    <w:p w14:paraId="55C884CF" w14:textId="72B140EA" w:rsidR="0015523F" w:rsidRPr="008D7C98" w:rsidRDefault="0015523F" w:rsidP="0015523F">
      <w:pPr>
        <w:pStyle w:val="ListParagraph"/>
        <w:numPr>
          <w:ilvl w:val="0"/>
          <w:numId w:val="97"/>
        </w:numPr>
        <w:rPr>
          <w:noProof/>
        </w:rPr>
      </w:pPr>
      <w:r w:rsidRPr="008D7C98">
        <w:rPr>
          <w:noProof/>
        </w:rPr>
        <w:t>Heywood W, Myers P, Powell A, Meikle G, Nguyen D. National Student Safety Survey: Report on the prevalence of sexual harassment and sexual assault among university students in 2021. Melbourne; 2022.</w:t>
      </w:r>
    </w:p>
    <w:p w14:paraId="089BDA9C" w14:textId="3EA9F00F" w:rsidR="0015523F" w:rsidRPr="008D7C98" w:rsidRDefault="0015523F" w:rsidP="0015523F">
      <w:pPr>
        <w:pStyle w:val="ListParagraph"/>
        <w:numPr>
          <w:ilvl w:val="0"/>
          <w:numId w:val="97"/>
        </w:numPr>
        <w:rPr>
          <w:noProof/>
        </w:rPr>
      </w:pPr>
      <w:r w:rsidRPr="008D7C98">
        <w:rPr>
          <w:noProof/>
        </w:rPr>
        <w:t>Wilson LC. The Prevalence of Military Sexual Trauma: A Meta-Analysis. Trauma, Violence, &amp; Abuse. 2016;19(5):584-97.</w:t>
      </w:r>
    </w:p>
    <w:p w14:paraId="5E1E4B3E" w14:textId="4F773C28" w:rsidR="0015523F" w:rsidRPr="008D7C98" w:rsidRDefault="0015523F" w:rsidP="0015523F">
      <w:pPr>
        <w:pStyle w:val="ListParagraph"/>
        <w:numPr>
          <w:ilvl w:val="0"/>
          <w:numId w:val="97"/>
        </w:numPr>
        <w:rPr>
          <w:noProof/>
        </w:rPr>
      </w:pPr>
      <w:r w:rsidRPr="008D7C98">
        <w:rPr>
          <w:noProof/>
        </w:rPr>
        <w:t>Breslin RA, Davis L, Hylton K, Hill A, Klauberg W, Petusky M, Klahr A. 2018 Workplace and Gender Relations of Active Duty Members: Overview Report (OPA Report No. 2019-027): U.S. Department of Defense; 2019.</w:t>
      </w:r>
    </w:p>
    <w:p w14:paraId="4B3968AF" w14:textId="094E89B2" w:rsidR="0015523F" w:rsidRPr="008D7C98" w:rsidRDefault="0015523F" w:rsidP="0015523F">
      <w:pPr>
        <w:pStyle w:val="ListParagraph"/>
        <w:numPr>
          <w:ilvl w:val="0"/>
          <w:numId w:val="97"/>
        </w:numPr>
        <w:rPr>
          <w:noProof/>
        </w:rPr>
      </w:pPr>
      <w:r w:rsidRPr="008D7C98">
        <w:rPr>
          <w:noProof/>
        </w:rPr>
        <w:t>Watkins K, Bennett R, Zamorski MA, Richer I. Military-related sexual assault in Canada: a cross-sectional survey. CMAJ Open. 2017;5(2):E496-e507.</w:t>
      </w:r>
    </w:p>
    <w:p w14:paraId="7471CF46" w14:textId="56ABEDB3" w:rsidR="0015523F" w:rsidRPr="008D7C98" w:rsidRDefault="0015523F" w:rsidP="0015523F">
      <w:pPr>
        <w:pStyle w:val="ListParagraph"/>
        <w:numPr>
          <w:ilvl w:val="0"/>
          <w:numId w:val="97"/>
        </w:numPr>
        <w:rPr>
          <w:noProof/>
        </w:rPr>
      </w:pPr>
      <w:r w:rsidRPr="008D7C98">
        <w:rPr>
          <w:noProof/>
        </w:rPr>
        <w:t>Eliezer D, Hilbert AJ, Davis LH, Hylton K, Klauberg WX, Hurley MM, Gitlin ZJ, Dyches KD, Galbreath NW. Sexual Assault Experiences Vary for Active Duty Military Women Depending on their Relationship to the Perpetrator. Journal of Family Violence. 2020;35(4):325-38.</w:t>
      </w:r>
    </w:p>
    <w:p w14:paraId="4D299821" w14:textId="0F886A31" w:rsidR="0015523F" w:rsidRPr="008D7C98" w:rsidRDefault="0015523F" w:rsidP="0015523F">
      <w:pPr>
        <w:pStyle w:val="ListParagraph"/>
        <w:numPr>
          <w:ilvl w:val="0"/>
          <w:numId w:val="97"/>
        </w:numPr>
        <w:rPr>
          <w:noProof/>
        </w:rPr>
      </w:pPr>
      <w:r w:rsidRPr="008D7C98">
        <w:rPr>
          <w:noProof/>
        </w:rPr>
        <w:t>Qu L, Kaspiew R, Carson R, Roopani D, De Maio J, Harvey J, Horsfall B. National Elder Abuse Prevalence Study: Final Report. Melbourne: AIFS; 2021.</w:t>
      </w:r>
    </w:p>
    <w:p w14:paraId="4FBE12D0" w14:textId="64C30C57" w:rsidR="0015523F" w:rsidRPr="008D7C98" w:rsidRDefault="0015523F" w:rsidP="0015523F">
      <w:pPr>
        <w:pStyle w:val="ListParagraph"/>
        <w:numPr>
          <w:ilvl w:val="0"/>
          <w:numId w:val="97"/>
        </w:numPr>
        <w:rPr>
          <w:noProof/>
        </w:rPr>
      </w:pPr>
      <w:r w:rsidRPr="008D7C98">
        <w:rPr>
          <w:noProof/>
        </w:rPr>
        <w:t>Smith D, Bugeja L, Cunningham N, Ibrahim JE. A Systematic Review of Sexual Assaults in Nursing Homes. The Gerontologist. 2017;58(6):e369-e83.</w:t>
      </w:r>
    </w:p>
    <w:p w14:paraId="49E493D2" w14:textId="12885099" w:rsidR="0015523F" w:rsidRPr="008D7C98" w:rsidRDefault="0015523F" w:rsidP="0015523F">
      <w:pPr>
        <w:pStyle w:val="ListParagraph"/>
        <w:numPr>
          <w:ilvl w:val="0"/>
          <w:numId w:val="97"/>
        </w:numPr>
        <w:rPr>
          <w:noProof/>
        </w:rPr>
      </w:pPr>
      <w:r w:rsidRPr="008D7C98">
        <w:rPr>
          <w:noProof/>
        </w:rPr>
        <w:t>Mailhot Amborski A, Bussières EL, Vaillancourt-Morel MP, Joyal CC. Sexual Violence Against Persons With Disabilities: A Meta-Analysis. Trauma Violence Abuse. 2022;23(4):1330-43.</w:t>
      </w:r>
    </w:p>
    <w:p w14:paraId="6107CC75" w14:textId="5DC66F8E" w:rsidR="0015523F" w:rsidRPr="008D7C98" w:rsidRDefault="0015523F" w:rsidP="0015523F">
      <w:pPr>
        <w:pStyle w:val="ListParagraph"/>
        <w:numPr>
          <w:ilvl w:val="0"/>
          <w:numId w:val="97"/>
        </w:numPr>
        <w:rPr>
          <w:noProof/>
        </w:rPr>
      </w:pPr>
      <w:r w:rsidRPr="008D7C98">
        <w:rPr>
          <w:noProof/>
        </w:rPr>
        <w:lastRenderedPageBreak/>
        <w:t>Krnjacki L, Emerson E, Llewellyn G, Kavanagh AM. Prevalence and risk of violence against people with and without disabilities: findings from an Australian population-based study. Australian and New Zealand Journal of Public Health. 2016;40(1):16-21.</w:t>
      </w:r>
    </w:p>
    <w:p w14:paraId="033B974C" w14:textId="12090492" w:rsidR="0015523F" w:rsidRPr="008D7C98" w:rsidRDefault="0015523F" w:rsidP="0015523F">
      <w:pPr>
        <w:pStyle w:val="ListParagraph"/>
        <w:numPr>
          <w:ilvl w:val="0"/>
          <w:numId w:val="97"/>
        </w:numPr>
        <w:rPr>
          <w:noProof/>
        </w:rPr>
      </w:pPr>
      <w:r w:rsidRPr="008D7C98">
        <w:rPr>
          <w:noProof/>
        </w:rPr>
        <w:t>Ledingham E, Wright GW, Mitra M. Sexual Violence Against Women With Disabilities: Experiences With Force and Lifetime Risk. American Journal of Preventive Medicine. 2022;62(6):895-902.</w:t>
      </w:r>
    </w:p>
    <w:p w14:paraId="2027FC94" w14:textId="1A53046C" w:rsidR="0015523F" w:rsidRPr="008D7C98" w:rsidRDefault="0015523F" w:rsidP="0015523F">
      <w:pPr>
        <w:pStyle w:val="ListParagraph"/>
        <w:numPr>
          <w:ilvl w:val="0"/>
          <w:numId w:val="97"/>
        </w:numPr>
        <w:rPr>
          <w:noProof/>
        </w:rPr>
      </w:pPr>
      <w:r w:rsidRPr="008D7C98">
        <w:rPr>
          <w:noProof/>
        </w:rPr>
        <w:t>Basile KC, Breiding MJ, Smith SG. Disability and Risk of Recent Sexual Violence in the United States. Am J Public Health. 2016;106(5):928-33.</w:t>
      </w:r>
    </w:p>
    <w:p w14:paraId="39117590" w14:textId="4572F90A" w:rsidR="0015523F" w:rsidRPr="008D7C98" w:rsidRDefault="0015523F" w:rsidP="0015523F">
      <w:pPr>
        <w:pStyle w:val="ListParagraph"/>
        <w:numPr>
          <w:ilvl w:val="0"/>
          <w:numId w:val="97"/>
        </w:numPr>
        <w:rPr>
          <w:noProof/>
        </w:rPr>
      </w:pPr>
      <w:r w:rsidRPr="008D7C98">
        <w:rPr>
          <w:noProof/>
        </w:rPr>
        <w:t>Campe MI. College Campus Sexual Assault and Female Students With Disabilities. J Interpers Violence. 2021;36(15-16):Np7971-np96.</w:t>
      </w:r>
    </w:p>
    <w:p w14:paraId="6DD7DDD7" w14:textId="3F237C80" w:rsidR="0015523F" w:rsidRPr="008D7C98" w:rsidRDefault="0015523F" w:rsidP="0015523F">
      <w:pPr>
        <w:pStyle w:val="ListParagraph"/>
        <w:numPr>
          <w:ilvl w:val="0"/>
          <w:numId w:val="97"/>
        </w:numPr>
        <w:rPr>
          <w:noProof/>
        </w:rPr>
      </w:pPr>
      <w:r w:rsidRPr="008D7C98">
        <w:rPr>
          <w:noProof/>
        </w:rPr>
        <w:t>Dowse L, Soldatic K, Spangaro J, van Toorn G. Mind the gap: the extent of violence against women with disabilities in Australia. Australian Journal of Social Issues. 2016;51(3):341-59.</w:t>
      </w:r>
    </w:p>
    <w:p w14:paraId="0D667AB8" w14:textId="18838F9B" w:rsidR="0015523F" w:rsidRPr="008D7C98" w:rsidRDefault="0015523F" w:rsidP="0015523F">
      <w:pPr>
        <w:pStyle w:val="ListParagraph"/>
        <w:numPr>
          <w:ilvl w:val="0"/>
          <w:numId w:val="97"/>
        </w:numPr>
        <w:rPr>
          <w:noProof/>
        </w:rPr>
      </w:pPr>
      <w:r w:rsidRPr="008D7C98">
        <w:rPr>
          <w:noProof/>
        </w:rPr>
        <w:t>Malihi ZA, Fanslow JL, Hashemi L, Gulliver PJ, McIntosh TKD. Prevalence of Nonpartner Physical and Sexual Violence Against People With Disabilities. American Journal of Preventive Medicine. 2021;61(3):329-37.</w:t>
      </w:r>
    </w:p>
    <w:p w14:paraId="2F7E90D4" w14:textId="021E2EA2" w:rsidR="0015523F" w:rsidRPr="008D7C98" w:rsidRDefault="0015523F" w:rsidP="0015523F">
      <w:pPr>
        <w:pStyle w:val="ListParagraph"/>
        <w:numPr>
          <w:ilvl w:val="0"/>
          <w:numId w:val="97"/>
        </w:numPr>
        <w:rPr>
          <w:noProof/>
        </w:rPr>
      </w:pPr>
      <w:r w:rsidRPr="008D7C98">
        <w:rPr>
          <w:noProof/>
        </w:rPr>
        <w:t>Khalifeh H, Oram S, Osborn D, Howard LM, Johnson S. Recent physical and sexual violence against adults with severe mental illness: a systematic review and meta-analysis. Int Rev Psychiatry. 2016;28(5):433-51.</w:t>
      </w:r>
    </w:p>
    <w:p w14:paraId="2586E065" w14:textId="4249700E" w:rsidR="0015523F" w:rsidRPr="008D7C98" w:rsidRDefault="0015523F" w:rsidP="0015523F">
      <w:pPr>
        <w:pStyle w:val="ListParagraph"/>
        <w:numPr>
          <w:ilvl w:val="0"/>
          <w:numId w:val="97"/>
        </w:numPr>
        <w:rPr>
          <w:noProof/>
        </w:rPr>
      </w:pPr>
      <w:r w:rsidRPr="008D7C98">
        <w:rPr>
          <w:noProof/>
        </w:rPr>
        <w:t>Canan SN, Jozkowski KN, Wiersma-Mosley JD, Bradley M, Blunt-Vinti H. Differences in Lesbian, Bisexual, and Heterosexual Women's Experiences of Sexual Assault and Rape in a National U.S. Sample. J Interpers Violence. 2021;36(19-20):9100-20.</w:t>
      </w:r>
    </w:p>
    <w:p w14:paraId="425B5231" w14:textId="1A5FE5FC" w:rsidR="0015523F" w:rsidRPr="008D7C98" w:rsidRDefault="0015523F" w:rsidP="0015523F">
      <w:pPr>
        <w:pStyle w:val="ListParagraph"/>
        <w:numPr>
          <w:ilvl w:val="0"/>
          <w:numId w:val="97"/>
        </w:numPr>
        <w:rPr>
          <w:noProof/>
        </w:rPr>
      </w:pPr>
      <w:r w:rsidRPr="008D7C98">
        <w:rPr>
          <w:noProof/>
        </w:rPr>
        <w:t>Hajizadeh M, Aiken A, Cox C. Risk Factors Associated with Sexual Misconduct in the Canadian Armed Forces: Does It Vary by Sex and Environmental Command? Arch Sex Behav. 2019;48(8):2581-94.</w:t>
      </w:r>
    </w:p>
    <w:p w14:paraId="446CF0ED" w14:textId="65BADF5A" w:rsidR="0015523F" w:rsidRPr="008D7C98" w:rsidRDefault="0015523F" w:rsidP="0015523F">
      <w:pPr>
        <w:pStyle w:val="ListParagraph"/>
        <w:numPr>
          <w:ilvl w:val="0"/>
          <w:numId w:val="97"/>
        </w:numPr>
        <w:rPr>
          <w:noProof/>
        </w:rPr>
      </w:pPr>
      <w:r w:rsidRPr="008D7C98">
        <w:rPr>
          <w:noProof/>
        </w:rPr>
        <w:t>Johnson LM, Matthews TL, Napper SL. Sexual orientation and sexual assault victimization among US college students. The Social Science Journal. 2016;53(2):174-83.</w:t>
      </w:r>
    </w:p>
    <w:p w14:paraId="226386BF" w14:textId="3F28AFA6" w:rsidR="0015523F" w:rsidRPr="008D7C98" w:rsidRDefault="0015523F" w:rsidP="0015523F">
      <w:pPr>
        <w:pStyle w:val="ListParagraph"/>
        <w:numPr>
          <w:ilvl w:val="0"/>
          <w:numId w:val="97"/>
        </w:numPr>
        <w:rPr>
          <w:noProof/>
        </w:rPr>
      </w:pPr>
      <w:r w:rsidRPr="008D7C98">
        <w:rPr>
          <w:noProof/>
        </w:rPr>
        <w:t>Langenderfer-Magruder L, Walls NE, Kattari SK, Whitfield DL, Ramos D. Sexual Victimization and Subsequent Police Reporting by Gender Identity Among Lesbian, Gay, Bisexual, Transgender, and Queer Adults. Violence and victims. 2016;31(2):320-31.</w:t>
      </w:r>
    </w:p>
    <w:p w14:paraId="5F350E46" w14:textId="43CEB9C8" w:rsidR="0015523F" w:rsidRPr="008D7C98" w:rsidRDefault="0015523F" w:rsidP="0015523F">
      <w:pPr>
        <w:pStyle w:val="ListParagraph"/>
        <w:numPr>
          <w:ilvl w:val="0"/>
          <w:numId w:val="97"/>
        </w:numPr>
        <w:rPr>
          <w:noProof/>
        </w:rPr>
      </w:pPr>
      <w:r w:rsidRPr="008D7C98">
        <w:rPr>
          <w:noProof/>
        </w:rPr>
        <w:t>Martin-Storey A, Paquette G, Bergeron M, Dion J, Daigneault I, Hébert M, Ricci S. Sexual Violence on Campus: Differences Across Gender and Sexual Minority Status. Journal of Adolescent Health. 2018;62(6):701-7.</w:t>
      </w:r>
    </w:p>
    <w:p w14:paraId="117178D0" w14:textId="4E81CE3D" w:rsidR="0015523F" w:rsidRPr="008D7C98" w:rsidRDefault="0015523F" w:rsidP="0015523F">
      <w:pPr>
        <w:pStyle w:val="ListParagraph"/>
        <w:numPr>
          <w:ilvl w:val="0"/>
          <w:numId w:val="97"/>
        </w:numPr>
        <w:rPr>
          <w:noProof/>
        </w:rPr>
      </w:pPr>
      <w:r w:rsidRPr="008D7C98">
        <w:rPr>
          <w:noProof/>
        </w:rPr>
        <w:t xml:space="preserve">Truman J, Morgan R. Violent Victimization by Sexual Orientation and Gender Identity, 2017–2020. Stastistical Brief 2022 [Available from: </w:t>
      </w:r>
      <w:hyperlink r:id="rId17" w:history="1">
        <w:r w:rsidR="00BE501B" w:rsidRPr="00DB581B">
          <w:rPr>
            <w:rStyle w:val="Hyperlink"/>
            <w:rFonts w:ascii="Arial" w:hAnsi="Arial"/>
          </w:rPr>
          <w:t>https://bjs.ojp.gov/content/pub/pdf/vvsogi1720.pdf</w:t>
        </w:r>
      </w:hyperlink>
      <w:r w:rsidR="00BE501B">
        <w:rPr>
          <w:u w:color="FF4900"/>
        </w:rPr>
        <w:t>]</w:t>
      </w:r>
      <w:r w:rsidRPr="008D7C98">
        <w:rPr>
          <w:noProof/>
        </w:rPr>
        <w:t>.</w:t>
      </w:r>
    </w:p>
    <w:p w14:paraId="49346DD2" w14:textId="3CD35998" w:rsidR="0015523F" w:rsidRPr="008D7C98" w:rsidRDefault="0015523F" w:rsidP="0015523F">
      <w:pPr>
        <w:pStyle w:val="ListParagraph"/>
        <w:numPr>
          <w:ilvl w:val="0"/>
          <w:numId w:val="97"/>
        </w:numPr>
        <w:rPr>
          <w:noProof/>
        </w:rPr>
      </w:pPr>
      <w:r w:rsidRPr="008D7C98">
        <w:rPr>
          <w:noProof/>
        </w:rPr>
        <w:t>Matsuzaka S, Koch DE. Trans feminine sexual violence experiences: The intersection of transphobia and misogyny. Affilia. 2019;34(1):28-47.</w:t>
      </w:r>
    </w:p>
    <w:p w14:paraId="7B65FC35" w14:textId="678E29C7" w:rsidR="0015523F" w:rsidRPr="008D7C98" w:rsidRDefault="0015523F" w:rsidP="0015523F">
      <w:pPr>
        <w:pStyle w:val="ListParagraph"/>
        <w:numPr>
          <w:ilvl w:val="0"/>
          <w:numId w:val="97"/>
        </w:numPr>
        <w:rPr>
          <w:noProof/>
        </w:rPr>
      </w:pPr>
      <w:r w:rsidRPr="008D7C98">
        <w:rPr>
          <w:noProof/>
        </w:rPr>
        <w:t xml:space="preserve">Australian Institute of Health and Welfare. Family, domestic and sexual violence data in Australia2022. </w:t>
      </w:r>
      <w:r w:rsidR="00024896">
        <w:rPr>
          <w:noProof/>
        </w:rPr>
        <w:t>[</w:t>
      </w:r>
      <w:r w:rsidRPr="008D7C98">
        <w:rPr>
          <w:noProof/>
        </w:rPr>
        <w:t xml:space="preserve">Available from: </w:t>
      </w:r>
      <w:hyperlink r:id="rId18" w:history="1">
        <w:r w:rsidR="00024896" w:rsidRPr="00DB581B">
          <w:rPr>
            <w:rStyle w:val="Hyperlink"/>
            <w:rFonts w:ascii="Arial" w:hAnsi="Arial"/>
          </w:rPr>
          <w:t>https://www.aihw.gov.au/reports/domestic-violence/family-domestic-sexual-violence-data</w:t>
        </w:r>
      </w:hyperlink>
      <w:r w:rsidR="00024896">
        <w:rPr>
          <w:u w:color="FF4900"/>
        </w:rPr>
        <w:t>]</w:t>
      </w:r>
      <w:r w:rsidRPr="008D7C98">
        <w:rPr>
          <w:noProof/>
        </w:rPr>
        <w:t>.</w:t>
      </w:r>
    </w:p>
    <w:p w14:paraId="1289852D" w14:textId="79DB426F" w:rsidR="0015523F" w:rsidRPr="008D7C98" w:rsidRDefault="0015523F" w:rsidP="0015523F">
      <w:pPr>
        <w:pStyle w:val="ListParagraph"/>
        <w:numPr>
          <w:ilvl w:val="0"/>
          <w:numId w:val="97"/>
        </w:numPr>
        <w:rPr>
          <w:noProof/>
        </w:rPr>
      </w:pPr>
      <w:r w:rsidRPr="008D7C98">
        <w:rPr>
          <w:noProof/>
        </w:rPr>
        <w:t>Wegner R, Abbey A, Pierce J, Pegram SE, Woerner J. Sexual Assault Perpetrators' Justifications for Their Actions: Relationships to Rape Supportive Attitudes, Incident Characteristics, and Future Perpetration. Violence Against Women. 2015;21(8):1018-37.</w:t>
      </w:r>
    </w:p>
    <w:p w14:paraId="40C6D5DB" w14:textId="4DB566E8" w:rsidR="0015523F" w:rsidRPr="008D7C98" w:rsidRDefault="0015523F" w:rsidP="0015523F">
      <w:pPr>
        <w:pStyle w:val="ListParagraph"/>
        <w:numPr>
          <w:ilvl w:val="0"/>
          <w:numId w:val="97"/>
        </w:numPr>
        <w:rPr>
          <w:noProof/>
        </w:rPr>
      </w:pPr>
      <w:r w:rsidRPr="008D7C98">
        <w:rPr>
          <w:noProof/>
        </w:rPr>
        <w:t>Zinzow HM, Thompson M. Factors associated with use of verbally coercive, incapacitated, and forcible sexual assault tactics in a longitudinal study of college men. Aggress Behav. 2015;41(1):34-43.</w:t>
      </w:r>
    </w:p>
    <w:p w14:paraId="2707097A" w14:textId="086734FF" w:rsidR="0015523F" w:rsidRPr="008D7C98" w:rsidRDefault="0015523F" w:rsidP="0015523F">
      <w:pPr>
        <w:pStyle w:val="ListParagraph"/>
        <w:numPr>
          <w:ilvl w:val="0"/>
          <w:numId w:val="97"/>
        </w:numPr>
        <w:rPr>
          <w:noProof/>
        </w:rPr>
      </w:pPr>
      <w:r w:rsidRPr="008D7C98">
        <w:rPr>
          <w:noProof/>
        </w:rPr>
        <w:t>Anderson RAE, Silver KE, Ciampaglia AM, Vitale AM, Delahanty DL. The Frequency of Sexual Perpetration in College Men: A Systematic Review of Reported Prevalence Rates From 2000 to 2017. Trauma Violence Abuse. 2021;22(3):481-95.</w:t>
      </w:r>
    </w:p>
    <w:p w14:paraId="54035BC5" w14:textId="7A4D5099" w:rsidR="0015523F" w:rsidRPr="008D7C98" w:rsidRDefault="0015523F" w:rsidP="0015523F">
      <w:pPr>
        <w:pStyle w:val="ListParagraph"/>
        <w:numPr>
          <w:ilvl w:val="0"/>
          <w:numId w:val="97"/>
        </w:numPr>
        <w:rPr>
          <w:noProof/>
        </w:rPr>
      </w:pPr>
      <w:r w:rsidRPr="008D7C98">
        <w:rPr>
          <w:noProof/>
        </w:rPr>
        <w:lastRenderedPageBreak/>
        <w:t>Grauerholz L. An ecological approach to understanding sexual revictimization: Linking personal, interpersonal, and sociocultural factors and processes. Sage Publications; 2000. p. 5-17.</w:t>
      </w:r>
    </w:p>
    <w:p w14:paraId="1FE4753A" w14:textId="685BFCC3" w:rsidR="0015523F" w:rsidRPr="008D7C98" w:rsidRDefault="0015523F" w:rsidP="0015523F">
      <w:pPr>
        <w:pStyle w:val="ListParagraph"/>
        <w:numPr>
          <w:ilvl w:val="0"/>
          <w:numId w:val="97"/>
        </w:numPr>
        <w:rPr>
          <w:noProof/>
        </w:rPr>
      </w:pPr>
      <w:r w:rsidRPr="008D7C98">
        <w:rPr>
          <w:noProof/>
        </w:rPr>
        <w:t>Carman M, Farrugia C, Bourne A, Power J, Rosenberg S. Research Matters: How many people are LGBTIQ?: Rainbox Health Victoria; 2020.</w:t>
      </w:r>
    </w:p>
    <w:p w14:paraId="1A71F1B0" w14:textId="2DAAFCE2" w:rsidR="0015523F" w:rsidRPr="008D7C98" w:rsidRDefault="0015523F" w:rsidP="0015523F">
      <w:pPr>
        <w:pStyle w:val="ListParagraph"/>
        <w:numPr>
          <w:ilvl w:val="0"/>
          <w:numId w:val="97"/>
        </w:numPr>
        <w:rPr>
          <w:noProof/>
        </w:rPr>
      </w:pPr>
      <w:r w:rsidRPr="008D7C98">
        <w:rPr>
          <w:noProof/>
        </w:rPr>
        <w:t>Campbell JC, Sabri B, Budhathoki C, Kaufman MR, Alhusen J, Decker MR. Unwanted Sexual Acts Among University Students: Correlates of Victimization and Perpetration. Journal of Interpersonal Violence. 2017;36(1-2):NP504-NP26.</w:t>
      </w:r>
    </w:p>
    <w:p w14:paraId="2051A895" w14:textId="1861E125" w:rsidR="0015523F" w:rsidRPr="008D7C98" w:rsidRDefault="0015523F" w:rsidP="0015523F">
      <w:pPr>
        <w:pStyle w:val="ListParagraph"/>
        <w:numPr>
          <w:ilvl w:val="0"/>
          <w:numId w:val="97"/>
        </w:numPr>
        <w:rPr>
          <w:noProof/>
        </w:rPr>
      </w:pPr>
      <w:r w:rsidRPr="008D7C98">
        <w:rPr>
          <w:noProof/>
        </w:rPr>
        <w:t>Casey EA, Master T. Sexual violence risk and protective factors: A systematic review of the literature. Washington: State Department of Health; 2017.</w:t>
      </w:r>
    </w:p>
    <w:p w14:paraId="77BD2614" w14:textId="20F51B98" w:rsidR="0015523F" w:rsidRPr="008D7C98" w:rsidRDefault="0015523F" w:rsidP="0015523F">
      <w:pPr>
        <w:pStyle w:val="ListParagraph"/>
        <w:numPr>
          <w:ilvl w:val="0"/>
          <w:numId w:val="97"/>
        </w:numPr>
        <w:rPr>
          <w:noProof/>
        </w:rPr>
      </w:pPr>
      <w:r w:rsidRPr="008D7C98">
        <w:rPr>
          <w:noProof/>
        </w:rPr>
        <w:t>McGraw LK, Tyler KA, Simons LG. Risk Factors for Sexual Assault of Heterosexual and Sexual Minority College Women. J Interpers Violence. 2022;37(9-10):Np8032-np55.</w:t>
      </w:r>
    </w:p>
    <w:p w14:paraId="2E6AD82F" w14:textId="0B8F932A" w:rsidR="0015523F" w:rsidRPr="008D7C98" w:rsidRDefault="0015523F" w:rsidP="0015523F">
      <w:pPr>
        <w:pStyle w:val="ListParagraph"/>
        <w:numPr>
          <w:ilvl w:val="0"/>
          <w:numId w:val="97"/>
        </w:numPr>
        <w:rPr>
          <w:noProof/>
        </w:rPr>
      </w:pPr>
      <w:r w:rsidRPr="008D7C98">
        <w:rPr>
          <w:noProof/>
        </w:rPr>
        <w:t>Tharp AT, DeGue S, Valle LA, Brookmeyer KA, Massetti GM, Matjasko JL. A systematic qualitative review of risk and protective factors for sexual violence perpetration. Trauma Violence Abuse. 2013;14(2):133-67.</w:t>
      </w:r>
    </w:p>
    <w:p w14:paraId="53F453C5" w14:textId="26A2EA00" w:rsidR="0015523F" w:rsidRPr="008D7C98" w:rsidRDefault="0015523F" w:rsidP="0015523F">
      <w:pPr>
        <w:pStyle w:val="ListParagraph"/>
        <w:numPr>
          <w:ilvl w:val="0"/>
          <w:numId w:val="97"/>
        </w:numPr>
        <w:rPr>
          <w:noProof/>
        </w:rPr>
      </w:pPr>
      <w:r w:rsidRPr="008D7C98">
        <w:rPr>
          <w:noProof/>
        </w:rPr>
        <w:t>Tyler KA, Ray CM. The Relationship Between College Student Characteristics and Reporting Sexual Assault Experiences on Two Different Scales. Violence Vict. 2022;37(4):532-46.</w:t>
      </w:r>
    </w:p>
    <w:p w14:paraId="5F3E9E75" w14:textId="379F57FE" w:rsidR="0015523F" w:rsidRPr="008D7C98" w:rsidRDefault="0015523F" w:rsidP="0015523F">
      <w:pPr>
        <w:pStyle w:val="ListParagraph"/>
        <w:numPr>
          <w:ilvl w:val="0"/>
          <w:numId w:val="97"/>
        </w:numPr>
        <w:rPr>
          <w:noProof/>
        </w:rPr>
      </w:pPr>
      <w:r w:rsidRPr="008D7C98">
        <w:rPr>
          <w:noProof/>
        </w:rPr>
        <w:t>Ybarra ML, Thompson RE. Predicting the Emergence of Sexual Violence in Adolescence. Prev Sci. 2018;19(4):403-15.</w:t>
      </w:r>
    </w:p>
    <w:p w14:paraId="0051CBF2" w14:textId="6FC191E6" w:rsidR="0015523F" w:rsidRPr="008D7C98" w:rsidRDefault="0015523F" w:rsidP="0015523F">
      <w:pPr>
        <w:pStyle w:val="ListParagraph"/>
        <w:numPr>
          <w:ilvl w:val="0"/>
          <w:numId w:val="97"/>
        </w:numPr>
        <w:rPr>
          <w:noProof/>
        </w:rPr>
      </w:pPr>
      <w:r w:rsidRPr="008D7C98">
        <w:rPr>
          <w:noProof/>
        </w:rPr>
        <w:t>Conley AH, Overstreet CM, Hawn SE, Kendler KS, Dick DM, Amstadter AB. Prevalence and predictors of sexual assault among a college sample. J Am Coll Health. 2017;65(1):41-9.</w:t>
      </w:r>
    </w:p>
    <w:p w14:paraId="5D09A36E" w14:textId="4C7698EE" w:rsidR="0015523F" w:rsidRPr="008D7C98" w:rsidRDefault="0015523F" w:rsidP="0015523F">
      <w:pPr>
        <w:pStyle w:val="ListParagraph"/>
        <w:numPr>
          <w:ilvl w:val="0"/>
          <w:numId w:val="97"/>
        </w:numPr>
        <w:rPr>
          <w:noProof/>
        </w:rPr>
      </w:pPr>
      <w:r w:rsidRPr="008D7C98">
        <w:rPr>
          <w:noProof/>
        </w:rPr>
        <w:t>Lorenz K, Ullman SE. Alcohol and sexual assault victimization: Research findings and future directions. Aggression and Violent Behavior. 2016;31:82-94.</w:t>
      </w:r>
    </w:p>
    <w:p w14:paraId="55CFACB8" w14:textId="385F376F" w:rsidR="0015523F" w:rsidRPr="008D7C98" w:rsidRDefault="0015523F" w:rsidP="0015523F">
      <w:pPr>
        <w:pStyle w:val="ListParagraph"/>
        <w:numPr>
          <w:ilvl w:val="0"/>
          <w:numId w:val="97"/>
        </w:numPr>
        <w:rPr>
          <w:noProof/>
        </w:rPr>
      </w:pPr>
      <w:r w:rsidRPr="008D7C98">
        <w:rPr>
          <w:noProof/>
        </w:rPr>
        <w:t>Wall L, Quadara A. Under the influence? Considering the role of alcohol and sexual assault in social contexts. Melbourne: Australian Institute of Family Studies; 2014.</w:t>
      </w:r>
    </w:p>
    <w:p w14:paraId="1B21FD71" w14:textId="0AE660E0" w:rsidR="0015523F" w:rsidRPr="008D7C98" w:rsidRDefault="0015523F" w:rsidP="0015523F">
      <w:pPr>
        <w:pStyle w:val="ListParagraph"/>
        <w:numPr>
          <w:ilvl w:val="0"/>
          <w:numId w:val="97"/>
        </w:numPr>
        <w:rPr>
          <w:noProof/>
        </w:rPr>
      </w:pPr>
      <w:r w:rsidRPr="008D7C98">
        <w:rPr>
          <w:noProof/>
        </w:rPr>
        <w:t>Herbenick D, Fu T-C, Wright P, Paul B, Gradus R, Bauer J, Jones R. Diverse Sexual Behaviors and Pornography Use: Findings From a Nationally Representative Probability Survey of Americans Aged 18 to 60 Years. The Journal of Sexual Medicine. 2020;17(4):623-33.</w:t>
      </w:r>
    </w:p>
    <w:p w14:paraId="02048F6D" w14:textId="16784807" w:rsidR="0015523F" w:rsidRPr="008D7C98" w:rsidRDefault="0015523F" w:rsidP="0015523F">
      <w:pPr>
        <w:pStyle w:val="ListParagraph"/>
        <w:numPr>
          <w:ilvl w:val="0"/>
          <w:numId w:val="97"/>
        </w:numPr>
        <w:rPr>
          <w:noProof/>
        </w:rPr>
      </w:pPr>
      <w:r w:rsidRPr="008D7C98">
        <w:rPr>
          <w:noProof/>
        </w:rPr>
        <w:t>Wright PJ, Tokunaga RS, Kraus A. A Meta-Analysis of Pornography Consumption and Actual Acts of Sexual Aggression in General Population Studies. Journal of Communication. 2016;66(1):183-205.</w:t>
      </w:r>
    </w:p>
    <w:p w14:paraId="03FF04FE" w14:textId="627C4F40" w:rsidR="0015523F" w:rsidRPr="008D7C98" w:rsidRDefault="0015523F" w:rsidP="0015523F">
      <w:pPr>
        <w:pStyle w:val="ListParagraph"/>
        <w:numPr>
          <w:ilvl w:val="0"/>
          <w:numId w:val="97"/>
        </w:numPr>
        <w:rPr>
          <w:noProof/>
        </w:rPr>
      </w:pPr>
      <w:r w:rsidRPr="008D7C98">
        <w:rPr>
          <w:noProof/>
        </w:rPr>
        <w:t>Zinzow HM, Thompson M. A Longitudinal Study of Risk Factors for Repeated Sexual Coercion and Assault in U.S. College Men. Archives of Sexual Behavior. 2015;44(1):213-22.</w:t>
      </w:r>
    </w:p>
    <w:p w14:paraId="696F472F" w14:textId="052CB72E" w:rsidR="0015523F" w:rsidRPr="008D7C98" w:rsidRDefault="0015523F" w:rsidP="0015523F">
      <w:pPr>
        <w:pStyle w:val="ListParagraph"/>
        <w:numPr>
          <w:ilvl w:val="0"/>
          <w:numId w:val="97"/>
        </w:numPr>
        <w:rPr>
          <w:noProof/>
        </w:rPr>
      </w:pPr>
      <w:r w:rsidRPr="008D7C98">
        <w:rPr>
          <w:noProof/>
        </w:rPr>
        <w:t>Glouberman S, Millar J. Evolution of the determinants of health, health policy, and health information systems in Canada. Am J Public Health. 2003;93(3):388-92.</w:t>
      </w:r>
    </w:p>
    <w:p w14:paraId="6D0ACEC7" w14:textId="36F358E2" w:rsidR="0015523F" w:rsidRPr="008D7C98" w:rsidRDefault="0015523F" w:rsidP="0015523F">
      <w:pPr>
        <w:pStyle w:val="ListParagraph"/>
        <w:numPr>
          <w:ilvl w:val="0"/>
          <w:numId w:val="97"/>
        </w:numPr>
        <w:rPr>
          <w:noProof/>
        </w:rPr>
      </w:pPr>
      <w:r w:rsidRPr="008D7C98">
        <w:rPr>
          <w:noProof/>
        </w:rPr>
        <w:t>Commission on Social Determinants of Health. Closing the gap in a generation: health equity through action on the social determinants of health: final report of the commission on social determinants of health. Geneva: World Health Organization; 2008.</w:t>
      </w:r>
    </w:p>
    <w:p w14:paraId="52AB9264" w14:textId="42F47363" w:rsidR="0015523F" w:rsidRPr="008D7C98" w:rsidRDefault="0015523F" w:rsidP="0015523F">
      <w:pPr>
        <w:pStyle w:val="ListParagraph"/>
        <w:numPr>
          <w:ilvl w:val="0"/>
          <w:numId w:val="97"/>
        </w:numPr>
        <w:rPr>
          <w:noProof/>
        </w:rPr>
      </w:pPr>
      <w:r w:rsidRPr="008D7C98">
        <w:rPr>
          <w:noProof/>
        </w:rPr>
        <w:t>Marmot M, Allen J. Health priorities and the social determinants of health. EMHJ-Eastern Mediterranean Health Journal. 2015;21(9):671-2.</w:t>
      </w:r>
    </w:p>
    <w:p w14:paraId="1B1BE7F6" w14:textId="3771D2A8" w:rsidR="0015523F" w:rsidRPr="008D7C98" w:rsidRDefault="0015523F" w:rsidP="0015523F">
      <w:pPr>
        <w:pStyle w:val="ListParagraph"/>
        <w:numPr>
          <w:ilvl w:val="0"/>
          <w:numId w:val="97"/>
        </w:numPr>
        <w:rPr>
          <w:noProof/>
        </w:rPr>
      </w:pPr>
      <w:r w:rsidRPr="008D7C98">
        <w:rPr>
          <w:noProof/>
        </w:rPr>
        <w:t>Powell A, Henry N. Framing Sexual Violence Prevention. In: Henry N, Powell A, editors. Preventing Sexual Violence: Interdisciplinary Approaches to Overcoming a Rape Culture. London: Palgrave Macmillan UK; 2014. p. 1-21.</w:t>
      </w:r>
    </w:p>
    <w:p w14:paraId="189E95D9" w14:textId="24E06922" w:rsidR="0015523F" w:rsidRPr="008D7C98" w:rsidRDefault="0015523F" w:rsidP="0015523F">
      <w:pPr>
        <w:pStyle w:val="ListParagraph"/>
        <w:numPr>
          <w:ilvl w:val="0"/>
          <w:numId w:val="97"/>
        </w:numPr>
        <w:rPr>
          <w:noProof/>
        </w:rPr>
      </w:pPr>
      <w:r w:rsidRPr="008D7C98">
        <w:rPr>
          <w:noProof/>
        </w:rPr>
        <w:t>Our Watch. Change the story: A shared framework for the primary prevention of violence against women in Australia. 2nd ed. Melbourne: Our Watch; 2021.</w:t>
      </w:r>
    </w:p>
    <w:p w14:paraId="47273A30" w14:textId="050C9974" w:rsidR="00BC10E6" w:rsidRDefault="00BC10E6" w:rsidP="00BC10E6">
      <w:pPr>
        <w:rPr>
          <w:rFonts w:asciiTheme="minorHAnsi" w:hAnsiTheme="minorHAnsi" w:cstheme="minorHAnsi"/>
          <w:sz w:val="18"/>
          <w:szCs w:val="18"/>
        </w:rPr>
      </w:pPr>
    </w:p>
    <w:p w14:paraId="0B5159F5" w14:textId="77777777" w:rsidR="00F6152B" w:rsidRDefault="00F6152B" w:rsidP="00F6152B">
      <w:pPr>
        <w:pStyle w:val="Heading2"/>
      </w:pPr>
      <w:r>
        <w:lastRenderedPageBreak/>
        <w:t>Further reading</w:t>
      </w:r>
    </w:p>
    <w:p w14:paraId="4AF4C5A0" w14:textId="77777777" w:rsidR="00F6152B" w:rsidRPr="00BC4F80" w:rsidRDefault="00F6152B" w:rsidP="00F6152B">
      <w:pPr>
        <w:rPr>
          <w:rFonts w:asciiTheme="minorHAnsi" w:hAnsiTheme="minorHAnsi" w:cstheme="minorHAnsi"/>
          <w:color w:val="003639" w:themeColor="text2"/>
          <w:szCs w:val="28"/>
        </w:rPr>
      </w:pPr>
      <w:r w:rsidRPr="00BC4F80">
        <w:rPr>
          <w:rStyle w:val="apple-tab-span"/>
          <w:rFonts w:asciiTheme="minorHAnsi" w:hAnsiTheme="minorHAnsi" w:cstheme="minorHAnsi"/>
          <w:color w:val="003639" w:themeColor="text2"/>
          <w:szCs w:val="28"/>
        </w:rPr>
        <w:t xml:space="preserve">All resources from Summarising the evidence can be found on the </w:t>
      </w:r>
      <w:hyperlink r:id="rId19" w:history="1">
        <w:r w:rsidRPr="00875AAD">
          <w:rPr>
            <w:rStyle w:val="Hyperlink"/>
            <w:rFonts w:asciiTheme="minorHAnsi" w:hAnsiTheme="minorHAnsi" w:cstheme="minorHAnsi"/>
            <w:szCs w:val="28"/>
          </w:rPr>
          <w:t>project page</w:t>
        </w:r>
      </w:hyperlink>
      <w:r w:rsidRPr="00BC4F80">
        <w:rPr>
          <w:rStyle w:val="apple-tab-span"/>
          <w:rFonts w:asciiTheme="minorHAnsi" w:hAnsiTheme="minorHAnsi" w:cstheme="minorHAnsi"/>
          <w:color w:val="003639" w:themeColor="text2"/>
          <w:szCs w:val="28"/>
        </w:rPr>
        <w:t>.</w:t>
      </w:r>
    </w:p>
    <w:p w14:paraId="2B4E58C1" w14:textId="77777777" w:rsidR="00F6152B" w:rsidRDefault="00F6152B" w:rsidP="00F6152B">
      <w:pPr>
        <w:pStyle w:val="Heading3"/>
      </w:pPr>
      <w:r>
        <w:t>Research summaries</w:t>
      </w:r>
    </w:p>
    <w:p w14:paraId="77AF9E7B" w14:textId="77777777" w:rsidR="00F6152B" w:rsidRDefault="00F6152B" w:rsidP="00F6152B">
      <w:pPr>
        <w:pStyle w:val="ListParagraph"/>
        <w:numPr>
          <w:ilvl w:val="0"/>
          <w:numId w:val="68"/>
        </w:numPr>
      </w:pPr>
      <w:r>
        <w:t>Adolescent violence in the home (E Campbell &amp; L Wall)</w:t>
      </w:r>
    </w:p>
    <w:p w14:paraId="275FC1A2" w14:textId="77777777" w:rsidR="00F6152B" w:rsidRDefault="00F6152B" w:rsidP="00F6152B">
      <w:pPr>
        <w:pStyle w:val="ListParagraph"/>
        <w:numPr>
          <w:ilvl w:val="0"/>
          <w:numId w:val="68"/>
        </w:numPr>
      </w:pPr>
      <w:r>
        <w:t>Child maltreatment: a snapshot summary (D Higgins &amp; G Hunt)</w:t>
      </w:r>
    </w:p>
    <w:p w14:paraId="1F941B60" w14:textId="77777777" w:rsidR="00F6152B" w:rsidRDefault="00F6152B" w:rsidP="00F6152B">
      <w:pPr>
        <w:pStyle w:val="ListParagraph"/>
        <w:numPr>
          <w:ilvl w:val="0"/>
          <w:numId w:val="68"/>
        </w:numPr>
      </w:pPr>
      <w:r>
        <w:t>Intimate partner violence perpetrated against women by men (Respect Victoria)</w:t>
      </w:r>
    </w:p>
    <w:p w14:paraId="0FEAFC35" w14:textId="77777777" w:rsidR="00F6152B" w:rsidRDefault="00F6152B" w:rsidP="00F6152B">
      <w:pPr>
        <w:pStyle w:val="ListParagraph"/>
        <w:numPr>
          <w:ilvl w:val="0"/>
          <w:numId w:val="68"/>
        </w:numPr>
      </w:pPr>
      <w:r>
        <w:t xml:space="preserve">Intimate partner violence perpetrated by women against men (M Salter &amp; D </w:t>
      </w:r>
      <w:proofErr w:type="spellStart"/>
      <w:r>
        <w:t>Woodlock</w:t>
      </w:r>
      <w:proofErr w:type="spellEnd"/>
      <w:r>
        <w:t>)</w:t>
      </w:r>
    </w:p>
    <w:p w14:paraId="44DA37EC" w14:textId="77777777" w:rsidR="00F6152B" w:rsidRDefault="00F6152B" w:rsidP="00F6152B">
      <w:pPr>
        <w:pStyle w:val="ListParagraph"/>
        <w:numPr>
          <w:ilvl w:val="0"/>
          <w:numId w:val="68"/>
        </w:numPr>
      </w:pPr>
      <w:r>
        <w:t>Online violence and harassment perpetrated against women (B Harris)</w:t>
      </w:r>
    </w:p>
    <w:p w14:paraId="02A03B32" w14:textId="77777777" w:rsidR="00F6152B" w:rsidRDefault="00F6152B" w:rsidP="00F6152B">
      <w:pPr>
        <w:pStyle w:val="ListParagraph"/>
        <w:numPr>
          <w:ilvl w:val="0"/>
          <w:numId w:val="68"/>
        </w:numPr>
      </w:pPr>
      <w:r>
        <w:t>Non partner sexual violence (A Quadara)</w:t>
      </w:r>
    </w:p>
    <w:p w14:paraId="580B9433" w14:textId="77777777" w:rsidR="00F6152B" w:rsidRDefault="00F6152B" w:rsidP="00F6152B">
      <w:pPr>
        <w:pStyle w:val="ListParagraph"/>
        <w:numPr>
          <w:ilvl w:val="0"/>
          <w:numId w:val="68"/>
        </w:numPr>
      </w:pPr>
      <w:r>
        <w:t xml:space="preserve">Sexual harassment occurring in the world of work (S Charlesworth &amp; C </w:t>
      </w:r>
      <w:proofErr w:type="spellStart"/>
      <w:r>
        <w:t>Deen</w:t>
      </w:r>
      <w:proofErr w:type="spellEnd"/>
      <w:r>
        <w:t>)</w:t>
      </w:r>
    </w:p>
    <w:p w14:paraId="4F415AB8" w14:textId="77777777" w:rsidR="00F6152B" w:rsidRDefault="00F6152B" w:rsidP="00F6152B">
      <w:pPr>
        <w:pStyle w:val="ListParagraph"/>
        <w:numPr>
          <w:ilvl w:val="0"/>
          <w:numId w:val="68"/>
        </w:numPr>
      </w:pPr>
      <w:r>
        <w:t xml:space="preserve">Violence perpetrated against older people by another family member or carer (E Stevens, R </w:t>
      </w:r>
      <w:proofErr w:type="spellStart"/>
      <w:r>
        <w:t>Kaspiew</w:t>
      </w:r>
      <w:proofErr w:type="spellEnd"/>
      <w:r>
        <w:t xml:space="preserve"> &amp; R Carson)</w:t>
      </w:r>
    </w:p>
    <w:p w14:paraId="19422ECC" w14:textId="77777777" w:rsidR="00F6152B" w:rsidRDefault="00F6152B" w:rsidP="00F6152B">
      <w:pPr>
        <w:pStyle w:val="Heading3"/>
      </w:pPr>
      <w:r>
        <w:t>Context briefs</w:t>
      </w:r>
    </w:p>
    <w:p w14:paraId="1B09F572" w14:textId="4B2C7308" w:rsidR="00F6152B" w:rsidRDefault="00F6152B" w:rsidP="00F6152B">
      <w:pPr>
        <w:pStyle w:val="ListParagraph"/>
        <w:numPr>
          <w:ilvl w:val="0"/>
          <w:numId w:val="69"/>
        </w:numPr>
      </w:pPr>
      <w:r>
        <w:t xml:space="preserve">Summarising the evidence: Exploring what we know about drivers of violence against women, family violence and other forms of gendered violence - </w:t>
      </w:r>
      <w:r w:rsidR="00385020">
        <w:t>Project overview</w:t>
      </w:r>
    </w:p>
    <w:p w14:paraId="6819C5C4" w14:textId="77777777" w:rsidR="00F6152B" w:rsidRDefault="00F6152B" w:rsidP="00F6152B">
      <w:pPr>
        <w:pStyle w:val="ListParagraph"/>
        <w:numPr>
          <w:ilvl w:val="0"/>
          <w:numId w:val="69"/>
        </w:numPr>
      </w:pPr>
      <w:r>
        <w:t>Summarising the evidence: Adolescent violence in the home</w:t>
      </w:r>
    </w:p>
    <w:p w14:paraId="3FC4E89D" w14:textId="77777777" w:rsidR="00F6152B" w:rsidRDefault="00F6152B" w:rsidP="00F6152B">
      <w:pPr>
        <w:pStyle w:val="ListParagraph"/>
        <w:numPr>
          <w:ilvl w:val="0"/>
          <w:numId w:val="69"/>
        </w:numPr>
      </w:pPr>
      <w:r>
        <w:t>Summarising the evidence: Child maltreatment</w:t>
      </w:r>
    </w:p>
    <w:p w14:paraId="001CA4E8" w14:textId="77777777" w:rsidR="00F6152B" w:rsidRDefault="00F6152B" w:rsidP="00F6152B">
      <w:pPr>
        <w:pStyle w:val="ListParagraph"/>
        <w:numPr>
          <w:ilvl w:val="0"/>
          <w:numId w:val="69"/>
        </w:numPr>
      </w:pPr>
      <w:r>
        <w:t>Summarising the evidence: Elder abuse</w:t>
      </w:r>
    </w:p>
    <w:p w14:paraId="65EF11E6" w14:textId="77777777" w:rsidR="00F6152B" w:rsidRDefault="00F6152B" w:rsidP="00F6152B">
      <w:pPr>
        <w:pStyle w:val="ListParagraph"/>
        <w:numPr>
          <w:ilvl w:val="0"/>
          <w:numId w:val="69"/>
        </w:numPr>
      </w:pPr>
      <w:r>
        <w:t>Summarising the evidence: Online harassment and abuse against women</w:t>
      </w:r>
    </w:p>
    <w:p w14:paraId="1F8E988C" w14:textId="77777777" w:rsidR="00F6152B" w:rsidRDefault="00F6152B" w:rsidP="00F6152B">
      <w:pPr>
        <w:pStyle w:val="ListParagraph"/>
        <w:numPr>
          <w:ilvl w:val="0"/>
          <w:numId w:val="69"/>
        </w:numPr>
      </w:pPr>
      <w:r>
        <w:t>Summarising the evidence: Women’s intimate partner violence against men</w:t>
      </w:r>
    </w:p>
    <w:p w14:paraId="3C7EFB9E" w14:textId="77777777" w:rsidR="00F6152B" w:rsidRDefault="00F6152B" w:rsidP="00F6152B">
      <w:pPr>
        <w:pStyle w:val="ListParagraph"/>
        <w:numPr>
          <w:ilvl w:val="0"/>
          <w:numId w:val="69"/>
        </w:numPr>
      </w:pPr>
      <w:r>
        <w:t>Summarising the evidence: Work-related sexual harassment</w:t>
      </w:r>
    </w:p>
    <w:p w14:paraId="6294E65B" w14:textId="77777777" w:rsidR="00837D46" w:rsidRDefault="00837D46" w:rsidP="00837D46">
      <w:pPr>
        <w:pStyle w:val="Heading3"/>
        <w:rPr>
          <w:rStyle w:val="normaltextrun"/>
          <w:rFonts w:asciiTheme="minorHAnsi" w:hAnsiTheme="minorHAnsi" w:cstheme="minorHAnsi"/>
        </w:rPr>
      </w:pPr>
      <w:r w:rsidRPr="00D06D47">
        <w:rPr>
          <w:rStyle w:val="normaltextrun"/>
          <w:rFonts w:asciiTheme="minorHAnsi" w:hAnsiTheme="minorHAnsi" w:cstheme="minorHAnsi"/>
        </w:rPr>
        <w:t>Suggested citation</w:t>
      </w:r>
      <w:r w:rsidRPr="008B7FAB">
        <w:rPr>
          <w:rStyle w:val="normaltextrun"/>
          <w:rFonts w:asciiTheme="minorHAnsi" w:hAnsiTheme="minorHAnsi" w:cstheme="minorHAnsi"/>
        </w:rPr>
        <w:t>:</w:t>
      </w:r>
    </w:p>
    <w:p w14:paraId="72CCC192" w14:textId="075DDAC0" w:rsidR="00F6152B" w:rsidRDefault="001B0CDE" w:rsidP="00F6152B">
      <w:pPr>
        <w:pStyle w:val="Heading3"/>
      </w:pPr>
      <w:r w:rsidRPr="001B0CDE">
        <w:rPr>
          <w:b w:val="0"/>
          <w:bCs w:val="0"/>
          <w:sz w:val="22"/>
          <w:szCs w:val="22"/>
        </w:rPr>
        <w:t>Quadara, A, Respect Victoria. Non partner sexual violence. Melbourne: Respect Victoria; 2023.</w:t>
      </w:r>
    </w:p>
    <w:p w14:paraId="342AFDF1" w14:textId="77777777" w:rsidR="00F6152B" w:rsidRDefault="00F6152B" w:rsidP="00F6152B">
      <w:pPr>
        <w:pStyle w:val="Heading3"/>
      </w:pPr>
    </w:p>
    <w:p w14:paraId="705CE2C9" w14:textId="77777777" w:rsidR="00F6152B" w:rsidRDefault="00F6152B" w:rsidP="00F6152B">
      <w:pPr>
        <w:pStyle w:val="Heading3"/>
      </w:pPr>
    </w:p>
    <w:p w14:paraId="367529DD" w14:textId="77777777" w:rsidR="00F6152B" w:rsidRDefault="00F6152B" w:rsidP="00F6152B">
      <w:pPr>
        <w:pStyle w:val="Heading3"/>
      </w:pPr>
    </w:p>
    <w:p w14:paraId="47D3CBE4" w14:textId="77777777" w:rsidR="00F6152B" w:rsidRDefault="00F6152B" w:rsidP="00F6152B">
      <w:pPr>
        <w:pStyle w:val="Heading3"/>
      </w:pPr>
    </w:p>
    <w:p w14:paraId="3644399D" w14:textId="77777777" w:rsidR="00837D46" w:rsidRDefault="00837D46" w:rsidP="00F6152B">
      <w:pPr>
        <w:pStyle w:val="Heading3"/>
      </w:pPr>
    </w:p>
    <w:p w14:paraId="102424A3" w14:textId="77777777" w:rsidR="001B0CDE" w:rsidRDefault="001B0CDE" w:rsidP="00F6152B">
      <w:pPr>
        <w:pStyle w:val="Heading3"/>
      </w:pPr>
    </w:p>
    <w:p w14:paraId="2341C40B" w14:textId="77777777" w:rsidR="00F6152B" w:rsidRDefault="00F6152B" w:rsidP="00F6152B">
      <w:pPr>
        <w:pStyle w:val="Heading2"/>
      </w:pPr>
      <w:r>
        <w:lastRenderedPageBreak/>
        <w:fldChar w:fldCharType="begin"/>
      </w:r>
      <w:r>
        <w:instrText xml:space="preserve"> INCLUDEPICTURE "https://www.respectvictoria.vic.gov.au/themes/custom/respect/images/flag-aboriginal.png" \* MERGEFORMATINET </w:instrText>
      </w:r>
      <w:r>
        <w:fldChar w:fldCharType="separate"/>
      </w:r>
      <w:r>
        <w:rPr>
          <w:noProof/>
        </w:rPr>
        <w:drawing>
          <wp:inline distT="0" distB="0" distL="0" distR="0" wp14:anchorId="4CC297F5" wp14:editId="604C658C">
            <wp:extent cx="484536" cy="319596"/>
            <wp:effectExtent l="0" t="0" r="0" b="0"/>
            <wp:docPr id="849554993" name="Picture 1"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fldChar w:fldCharType="end"/>
      </w:r>
      <w:r w:rsidRPr="001C0F3B">
        <w:t xml:space="preserve"> </w:t>
      </w:r>
    </w:p>
    <w:p w14:paraId="2D0AA826" w14:textId="77777777" w:rsidR="00F6152B" w:rsidRPr="001C0F3B" w:rsidRDefault="00F6152B" w:rsidP="00F6152B">
      <w:pPr>
        <w:pStyle w:val="Heading2"/>
      </w:pPr>
      <w:r>
        <w:t xml:space="preserve">Acknowledgement of Country </w:t>
      </w:r>
    </w:p>
    <w:p w14:paraId="0CE17E98" w14:textId="77777777" w:rsidR="00F6152B" w:rsidRDefault="00F6152B" w:rsidP="00F6152B">
      <w:r>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41C236F4" w14:textId="77777777" w:rsidR="00F6152B" w:rsidRDefault="00F6152B" w:rsidP="00F6152B">
      <w:r>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t>
      </w:r>
      <w:proofErr w:type="gramStart"/>
      <w:r>
        <w:t>women, and</w:t>
      </w:r>
      <w:proofErr w:type="gramEnd"/>
      <w:r>
        <w:t xml:space="preserve"> will continue to work in collaboration with First Peoples to eliminate these forms of violence from all communities. </w:t>
      </w:r>
    </w:p>
    <w:p w14:paraId="52C30F26" w14:textId="77777777" w:rsidR="00F6152B" w:rsidRDefault="00F6152B" w:rsidP="00F6152B">
      <w:pPr>
        <w:pStyle w:val="Heading2"/>
      </w:pPr>
      <w:r>
        <w:t>Victim survivor acknowledgement</w:t>
      </w:r>
    </w:p>
    <w:p w14:paraId="2028FCD9" w14:textId="77777777" w:rsidR="00F6152B" w:rsidRDefault="00F6152B" w:rsidP="00F6152B">
      <w:r>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3985600D" w14:textId="77777777" w:rsidR="00F6152B" w:rsidRDefault="00F6152B" w:rsidP="00F6152B"/>
    <w:p w14:paraId="5B36C8EC" w14:textId="77777777" w:rsidR="00F6152B" w:rsidRDefault="00F6152B" w:rsidP="00F6152B"/>
    <w:p w14:paraId="17C8F349" w14:textId="423FB0F8" w:rsidR="00F6152B" w:rsidRPr="008B7FAB" w:rsidRDefault="00F6152B" w:rsidP="00BC10E6">
      <w:pPr>
        <w:rPr>
          <w:rFonts w:asciiTheme="minorHAnsi" w:hAnsiTheme="minorHAnsi" w:cstheme="minorHAnsi"/>
          <w:sz w:val="18"/>
          <w:szCs w:val="18"/>
        </w:rPr>
      </w:pPr>
      <w:r>
        <w:rPr>
          <w:b/>
          <w:noProof/>
        </w:rPr>
        <mc:AlternateContent>
          <mc:Choice Requires="wps">
            <w:drawing>
              <wp:inline distT="0" distB="0" distL="0" distR="0" wp14:anchorId="2074FA01" wp14:editId="42A7BF05">
                <wp:extent cx="6512560" cy="3799642"/>
                <wp:effectExtent l="0" t="0" r="2540" b="0"/>
                <wp:docPr id="617123076" name="Rectangle: Rounded Corners 5"/>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3EA5B" w14:textId="77777777" w:rsidR="00F6152B" w:rsidRDefault="00F6152B" w:rsidP="00F6152B">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52209857" wp14:editId="478130F3">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1"/>
                                          <a:stretch>
                                            <a:fillRect/>
                                          </a:stretch>
                                        </pic:blipFill>
                                        <pic:spPr>
                                          <a:xfrm>
                                            <a:off x="0" y="0"/>
                                            <a:ext cx="2988898" cy="711227"/>
                                          </a:xfrm>
                                          <a:prstGeom prst="rect">
                                            <a:avLst/>
                                          </a:prstGeom>
                                        </pic:spPr>
                                      </pic:pic>
                                    </a:graphicData>
                                  </a:graphic>
                                </wp:inline>
                              </w:drawing>
                            </w:r>
                          </w:p>
                          <w:p w14:paraId="1D526DF7" w14:textId="77777777" w:rsidR="00F6152B" w:rsidRDefault="00F6152B" w:rsidP="00F6152B">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7E516C73" w14:textId="77777777" w:rsidR="00F6152B" w:rsidRDefault="00F6152B" w:rsidP="00F6152B">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14BA822C" w14:textId="77777777" w:rsidR="00F6152B" w:rsidRPr="006D4AA3" w:rsidRDefault="00F6152B" w:rsidP="00F6152B">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2074FA01" id="Rectangle: Rounded Corners 5" o:spid="_x0000_s1029"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" fillcolor="#fffeef" stroked="f" strokeweight="1pt">
                <v:stroke joinstyle="miter"/>
                <v:textbox inset="8mm,8mm,8mm,8mm">
                  <w:txbxContent>
                    <w:p w14:paraId="3B53EA5B" w14:textId="77777777" w:rsidR="00F6152B" w:rsidRDefault="00F6152B" w:rsidP="00F6152B">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52209857" wp14:editId="478130F3">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2"/>
                                    <a:stretch>
                                      <a:fillRect/>
                                    </a:stretch>
                                  </pic:blipFill>
                                  <pic:spPr>
                                    <a:xfrm>
                                      <a:off x="0" y="0"/>
                                      <a:ext cx="2988898" cy="711227"/>
                                    </a:xfrm>
                                    <a:prstGeom prst="rect">
                                      <a:avLst/>
                                    </a:prstGeom>
                                  </pic:spPr>
                                </pic:pic>
                              </a:graphicData>
                            </a:graphic>
                          </wp:inline>
                        </w:drawing>
                      </w:r>
                    </w:p>
                    <w:p w14:paraId="1D526DF7" w14:textId="77777777" w:rsidR="00F6152B" w:rsidRDefault="00F6152B" w:rsidP="00F6152B">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7E516C73" w14:textId="77777777" w:rsidR="00F6152B" w:rsidRDefault="00F6152B" w:rsidP="00F6152B">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14BA822C" w14:textId="77777777" w:rsidR="00F6152B" w:rsidRPr="006D4AA3" w:rsidRDefault="00F6152B" w:rsidP="00F6152B">
                      <w:r>
                        <w:t>We are an independent voice, with functions, powers and duties enshrined in legislation.</w:t>
                      </w:r>
                    </w:p>
                  </w:txbxContent>
                </v:textbox>
                <w10:anchorlock/>
              </v:roundrect>
            </w:pict>
          </mc:Fallback>
        </mc:AlternateContent>
      </w:r>
    </w:p>
    <w:sectPr w:rsidR="00F6152B" w:rsidRPr="008B7FAB"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05F8" w14:textId="77777777" w:rsidR="0098129E" w:rsidRDefault="0098129E" w:rsidP="002B7883">
      <w:r>
        <w:separator/>
      </w:r>
    </w:p>
    <w:p w14:paraId="7038F320" w14:textId="77777777" w:rsidR="0098129E" w:rsidRDefault="0098129E"/>
  </w:endnote>
  <w:endnote w:type="continuationSeparator" w:id="0">
    <w:p w14:paraId="09D1E18B" w14:textId="77777777" w:rsidR="0098129E" w:rsidRDefault="0098129E" w:rsidP="002B7883">
      <w:r>
        <w:continuationSeparator/>
      </w:r>
    </w:p>
    <w:p w14:paraId="53C63DDA" w14:textId="77777777" w:rsidR="0098129E" w:rsidRDefault="0098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dy)">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FE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0494496F" w14:textId="77777777" w:rsidTr="00F04749">
      <w:trPr>
        <w:trHeight w:val="982"/>
      </w:trPr>
      <w:tc>
        <w:tcPr>
          <w:tcW w:w="9923" w:type="dxa"/>
          <w:vAlign w:val="bottom"/>
        </w:tcPr>
        <w:p w14:paraId="04922BBB"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267EDAAF" w14:textId="77777777" w:rsidTr="00F04749">
            <w:tc>
              <w:tcPr>
                <w:tcW w:w="9351" w:type="dxa"/>
              </w:tcPr>
              <w:p w14:paraId="76A44D3E" w14:textId="33226C19" w:rsidR="00F04749" w:rsidRDefault="004144B4" w:rsidP="00D83132">
                <w:r w:rsidRPr="004144B4">
                  <w:t xml:space="preserve">Summarising the evidence – </w:t>
                </w:r>
                <w:proofErr w:type="gramStart"/>
                <w:r w:rsidR="00920246" w:rsidRPr="00920246">
                  <w:t>Non-partner</w:t>
                </w:r>
                <w:proofErr w:type="gramEnd"/>
                <w:r w:rsidR="00920246" w:rsidRPr="00920246">
                  <w:t xml:space="preserve"> sexual assault against women</w:t>
                </w:r>
              </w:p>
            </w:tc>
            <w:tc>
              <w:tcPr>
                <w:tcW w:w="562" w:type="dxa"/>
              </w:tcPr>
              <w:p w14:paraId="18343917"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6B982F4F" w14:textId="77777777" w:rsidR="00D94744" w:rsidRDefault="00D94744" w:rsidP="00F04749">
          <w:pPr>
            <w:pStyle w:val="Footer"/>
            <w:jc w:val="right"/>
          </w:pPr>
        </w:p>
      </w:tc>
      <w:tc>
        <w:tcPr>
          <w:tcW w:w="341" w:type="dxa"/>
          <w:vAlign w:val="bottom"/>
        </w:tcPr>
        <w:p w14:paraId="485BCB55" w14:textId="77777777" w:rsidR="00D94744" w:rsidRDefault="00D94744" w:rsidP="0011185A">
          <w:pPr>
            <w:pStyle w:val="Footer"/>
            <w:jc w:val="right"/>
          </w:pPr>
        </w:p>
      </w:tc>
    </w:tr>
  </w:tbl>
  <w:p w14:paraId="47D1DABA" w14:textId="77777777" w:rsidR="001E761A" w:rsidRDefault="001E761A" w:rsidP="002B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E462" w14:textId="77777777" w:rsidR="0098129E" w:rsidRDefault="0098129E" w:rsidP="002B7883">
      <w:r>
        <w:separator/>
      </w:r>
    </w:p>
    <w:p w14:paraId="5CEA79FD" w14:textId="77777777" w:rsidR="0098129E" w:rsidRDefault="0098129E"/>
  </w:footnote>
  <w:footnote w:type="continuationSeparator" w:id="0">
    <w:p w14:paraId="5BEEEFF0" w14:textId="77777777" w:rsidR="0098129E" w:rsidRDefault="0098129E" w:rsidP="002B7883">
      <w:r>
        <w:continuationSeparator/>
      </w:r>
    </w:p>
    <w:p w14:paraId="7877B40F" w14:textId="77777777" w:rsidR="0098129E" w:rsidRDefault="00981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4CDA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8252A"/>
    <w:multiLevelType w:val="hybridMultilevel"/>
    <w:tmpl w:val="E24C1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2298D"/>
    <w:multiLevelType w:val="hybridMultilevel"/>
    <w:tmpl w:val="6EBCA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1F3312"/>
    <w:multiLevelType w:val="hybridMultilevel"/>
    <w:tmpl w:val="ED2E9620"/>
    <w:lvl w:ilvl="0" w:tplc="6E7869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57164E"/>
    <w:multiLevelType w:val="multilevel"/>
    <w:tmpl w:val="AFD4DB5E"/>
    <w:styleLink w:val="CurrentLi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D36901"/>
    <w:multiLevelType w:val="hybridMultilevel"/>
    <w:tmpl w:val="E272C3CE"/>
    <w:lvl w:ilvl="0" w:tplc="E2EACCC2">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CE066A"/>
    <w:multiLevelType w:val="hybridMultilevel"/>
    <w:tmpl w:val="F3BC3D08"/>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5C6E01"/>
    <w:multiLevelType w:val="hybridMultilevel"/>
    <w:tmpl w:val="D80847A4"/>
    <w:lvl w:ilvl="0" w:tplc="6E7869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7437FF"/>
    <w:multiLevelType w:val="hybridMultilevel"/>
    <w:tmpl w:val="D21868F2"/>
    <w:lvl w:ilvl="0" w:tplc="C2B65A42">
      <w:start w:val="1"/>
      <w:numFmt w:val="bullet"/>
      <w:lvlText w:val="•"/>
      <w:lvlJc w:val="left"/>
      <w:pPr>
        <w:ind w:left="360" w:hanging="360"/>
      </w:pPr>
      <w:rPr>
        <w:rFonts w:ascii="Arial" w:eastAsia="Arial" w:hAnsi="Arial" w:cs="Arial"/>
        <w:b w:val="0"/>
        <w:i w:val="0"/>
        <w:strike w:val="0"/>
        <w:dstrike w:val="0"/>
        <w:color w:val="2C2624"/>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9E11CB"/>
    <w:multiLevelType w:val="hybridMultilevel"/>
    <w:tmpl w:val="BCEAE1C2"/>
    <w:lvl w:ilvl="0" w:tplc="F54858EA">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F4152D"/>
    <w:multiLevelType w:val="hybridMultilevel"/>
    <w:tmpl w:val="CF0C9508"/>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15" w15:restartNumberingAfterBreak="0">
    <w:nsid w:val="1D9223C8"/>
    <w:multiLevelType w:val="hybridMultilevel"/>
    <w:tmpl w:val="E200A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8A33E8"/>
    <w:multiLevelType w:val="multilevel"/>
    <w:tmpl w:val="6896AC28"/>
    <w:styleLink w:val="CurrentList29"/>
    <w:lvl w:ilvl="0">
      <w:start w:val="1"/>
      <w:numFmt w:val="bullet"/>
      <w:lvlText w:val="•"/>
      <w:lvlJc w:val="left"/>
      <w:pPr>
        <w:ind w:left="720" w:hanging="360"/>
      </w:pPr>
      <w:rPr>
        <w:rFonts w:asciiTheme="minorHAnsi" w:hAnsiTheme="minorHAnsi"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AE3133"/>
    <w:multiLevelType w:val="hybridMultilevel"/>
    <w:tmpl w:val="5A92EC74"/>
    <w:lvl w:ilvl="0" w:tplc="C2B65A42">
      <w:start w:val="1"/>
      <w:numFmt w:val="bullet"/>
      <w:lvlText w:val="•"/>
      <w:lvlJc w:val="left"/>
      <w:pPr>
        <w:ind w:left="360" w:hanging="360"/>
      </w:pPr>
      <w:rPr>
        <w:rFonts w:ascii="Arial" w:eastAsia="Arial" w:hAnsi="Arial" w:cs="Arial"/>
        <w:b w:val="0"/>
        <w:i w:val="0"/>
        <w:strike w:val="0"/>
        <w:dstrike w:val="0"/>
        <w:color w:val="2C2624"/>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3B165D3"/>
    <w:multiLevelType w:val="hybridMultilevel"/>
    <w:tmpl w:val="3A240034"/>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5B674F8"/>
    <w:multiLevelType w:val="hybridMultilevel"/>
    <w:tmpl w:val="1DCC9AD0"/>
    <w:lvl w:ilvl="0" w:tplc="C2B65A42">
      <w:start w:val="1"/>
      <w:numFmt w:val="bullet"/>
      <w:lvlText w:val="•"/>
      <w:lvlJc w:val="left"/>
      <w:pPr>
        <w:ind w:left="360" w:hanging="360"/>
      </w:pPr>
      <w:rPr>
        <w:rFonts w:ascii="Arial" w:eastAsia="Arial" w:hAnsi="Arial" w:cs="Arial"/>
        <w:b w:val="0"/>
        <w:i w:val="0"/>
        <w:strike w:val="0"/>
        <w:dstrike w:val="0"/>
        <w:color w:val="2C2624"/>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70E0B94"/>
    <w:multiLevelType w:val="hybridMultilevel"/>
    <w:tmpl w:val="F5347C98"/>
    <w:lvl w:ilvl="0" w:tplc="A9F48A4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80477A"/>
    <w:multiLevelType w:val="hybridMultilevel"/>
    <w:tmpl w:val="ADB2F1E4"/>
    <w:lvl w:ilvl="0" w:tplc="4ADEA262">
      <w:start w:val="1"/>
      <w:numFmt w:val="decimal"/>
      <w:lvlText w:val="%1."/>
      <w:lvlJc w:val="left"/>
      <w:pPr>
        <w:ind w:left="680" w:hanging="34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06303A"/>
    <w:multiLevelType w:val="hybridMultilevel"/>
    <w:tmpl w:val="E0B4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3B1735"/>
    <w:multiLevelType w:val="hybridMultilevel"/>
    <w:tmpl w:val="03A2C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FA222D6"/>
    <w:multiLevelType w:val="hybridMultilevel"/>
    <w:tmpl w:val="3C6EB426"/>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FC42552"/>
    <w:multiLevelType w:val="hybridMultilevel"/>
    <w:tmpl w:val="F930508A"/>
    <w:lvl w:ilvl="0" w:tplc="6E78690E">
      <w:start w:val="1"/>
      <w:numFmt w:val="bullet"/>
      <w:lvlText w:val=""/>
      <w:lvlJc w:val="left"/>
      <w:pPr>
        <w:ind w:left="371" w:hanging="360"/>
      </w:pPr>
      <w:rPr>
        <w:rFonts w:ascii="Symbol" w:hAnsi="Symbol" w:hint="default"/>
        <w:color w:val="auto"/>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0"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23D57"/>
    <w:multiLevelType w:val="hybridMultilevel"/>
    <w:tmpl w:val="B5C4D564"/>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A256756"/>
    <w:multiLevelType w:val="hybridMultilevel"/>
    <w:tmpl w:val="3A9CD6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A7735B6"/>
    <w:multiLevelType w:val="hybridMultilevel"/>
    <w:tmpl w:val="6F522E4C"/>
    <w:lvl w:ilvl="0" w:tplc="F3BE5F68">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EF1775"/>
    <w:multiLevelType w:val="hybridMultilevel"/>
    <w:tmpl w:val="1DF6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DB7EC1"/>
    <w:multiLevelType w:val="hybridMultilevel"/>
    <w:tmpl w:val="85301688"/>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D4D7EBA"/>
    <w:multiLevelType w:val="hybridMultilevel"/>
    <w:tmpl w:val="DF9615DC"/>
    <w:lvl w:ilvl="0" w:tplc="C2B65A42">
      <w:start w:val="1"/>
      <w:numFmt w:val="bullet"/>
      <w:lvlText w:val="•"/>
      <w:lvlJc w:val="left"/>
      <w:pPr>
        <w:ind w:left="360" w:hanging="360"/>
      </w:pPr>
      <w:rPr>
        <w:rFonts w:ascii="Arial" w:eastAsia="Arial" w:hAnsi="Arial" w:cs="Arial"/>
        <w:b w:val="0"/>
        <w:i w:val="0"/>
        <w:strike w:val="0"/>
        <w:dstrike w:val="0"/>
        <w:color w:val="2C2624"/>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D65174A"/>
    <w:multiLevelType w:val="hybridMultilevel"/>
    <w:tmpl w:val="176A9B2E"/>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49AC98E0">
      <w:start w:val="1"/>
      <w:numFmt w:val="bullet"/>
      <w:lvlText w:val="•"/>
      <w:lvlJc w:val="left"/>
      <w:pPr>
        <w:ind w:left="1440" w:hanging="360"/>
      </w:pPr>
      <w:rPr>
        <w:rFonts w:asciiTheme="minorHAnsi" w:hAnsiTheme="minorHAnsi" w:hint="default"/>
        <w:b w:val="0"/>
        <w:i w:val="0"/>
        <w:color w:val="003639" w:themeColor="text1"/>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A11BD4"/>
    <w:multiLevelType w:val="multilevel"/>
    <w:tmpl w:val="CBD08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3EDC48CD"/>
    <w:multiLevelType w:val="hybridMultilevel"/>
    <w:tmpl w:val="E674ABF6"/>
    <w:lvl w:ilvl="0" w:tplc="8526983C">
      <w:start w:val="1"/>
      <w:numFmt w:val="bullet"/>
      <w:pStyle w:val="TableBullet1"/>
      <w:lvlText w:val=""/>
      <w:lvlJc w:val="left"/>
      <w:pPr>
        <w:ind w:left="720" w:hanging="360"/>
      </w:pPr>
      <w:rPr>
        <w:rFonts w:ascii="Wingdings" w:hAnsi="Wingdings" w:hint="default"/>
        <w:color w:val="003639"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4DB4227"/>
    <w:multiLevelType w:val="hybridMultilevel"/>
    <w:tmpl w:val="1EC8378E"/>
    <w:lvl w:ilvl="0" w:tplc="C2B65A42">
      <w:start w:val="1"/>
      <w:numFmt w:val="bullet"/>
      <w:lvlText w:val="•"/>
      <w:lvlJc w:val="left"/>
      <w:pPr>
        <w:ind w:left="360" w:hanging="360"/>
      </w:pPr>
      <w:rPr>
        <w:rFonts w:ascii="Arial" w:eastAsia="Arial" w:hAnsi="Arial" w:cs="Arial"/>
        <w:b w:val="0"/>
        <w:i w:val="0"/>
        <w:strike w:val="0"/>
        <w:dstrike w:val="0"/>
        <w:color w:val="2C2624"/>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58B382F"/>
    <w:multiLevelType w:val="multilevel"/>
    <w:tmpl w:val="F930508A"/>
    <w:styleLink w:val="CurrentList26"/>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46" w15:restartNumberingAfterBreak="0">
    <w:nsid w:val="46740888"/>
    <w:multiLevelType w:val="hybridMultilevel"/>
    <w:tmpl w:val="17963CDC"/>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455CED"/>
    <w:multiLevelType w:val="hybridMultilevel"/>
    <w:tmpl w:val="5E8A6AEC"/>
    <w:lvl w:ilvl="0" w:tplc="6E78690E">
      <w:start w:val="1"/>
      <w:numFmt w:val="bullet"/>
      <w:lvlText w:val=""/>
      <w:lvlJc w:val="left"/>
      <w:pPr>
        <w:ind w:left="36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47942ECE"/>
    <w:multiLevelType w:val="hybridMultilevel"/>
    <w:tmpl w:val="94CE30A4"/>
    <w:lvl w:ilvl="0" w:tplc="F3BE5F68">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3561ED"/>
    <w:multiLevelType w:val="hybridMultilevel"/>
    <w:tmpl w:val="897A745E"/>
    <w:lvl w:ilvl="0" w:tplc="9C20FB9E">
      <w:numFmt w:val="bullet"/>
      <w:lvlText w:val="-"/>
      <w:lvlJc w:val="left"/>
      <w:pPr>
        <w:ind w:left="410" w:hanging="360"/>
      </w:pPr>
      <w:rPr>
        <w:rFonts w:ascii="Calibri" w:eastAsiaTheme="minorHAns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50"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AD17383"/>
    <w:multiLevelType w:val="hybridMultilevel"/>
    <w:tmpl w:val="5A3E89E0"/>
    <w:lvl w:ilvl="0" w:tplc="C2B65A42">
      <w:start w:val="1"/>
      <w:numFmt w:val="bullet"/>
      <w:lvlText w:val="•"/>
      <w:lvlJc w:val="left"/>
      <w:pPr>
        <w:ind w:left="360" w:hanging="360"/>
      </w:pPr>
      <w:rPr>
        <w:rFonts w:ascii="Arial" w:eastAsia="Arial" w:hAnsi="Arial" w:cs="Arial"/>
        <w:b w:val="0"/>
        <w:i w:val="0"/>
        <w:strike w:val="0"/>
        <w:dstrike w:val="0"/>
        <w:color w:val="2C2624"/>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C31267E"/>
    <w:multiLevelType w:val="hybridMultilevel"/>
    <w:tmpl w:val="AFDA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EC9434A"/>
    <w:multiLevelType w:val="hybridMultilevel"/>
    <w:tmpl w:val="B8A8A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FA94361"/>
    <w:multiLevelType w:val="hybridMultilevel"/>
    <w:tmpl w:val="377CE9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0F22459"/>
    <w:multiLevelType w:val="hybridMultilevel"/>
    <w:tmpl w:val="9D44A2F8"/>
    <w:lvl w:ilvl="0" w:tplc="BDD64C7E">
      <w:start w:val="1"/>
      <w:numFmt w:val="bullet"/>
      <w:lvlText w:val="•"/>
      <w:lvlJc w:val="left"/>
      <w:pPr>
        <w:ind w:left="720" w:hanging="360"/>
      </w:pPr>
      <w:rPr>
        <w:rFonts w:ascii="Arial (Body)" w:hAnsi="Arial (Body)"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36B7B62"/>
    <w:multiLevelType w:val="hybridMultilevel"/>
    <w:tmpl w:val="4EAC8158"/>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41502DC"/>
    <w:multiLevelType w:val="hybridMultilevel"/>
    <w:tmpl w:val="CD0E2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5351C33"/>
    <w:multiLevelType w:val="hybridMultilevel"/>
    <w:tmpl w:val="1916CF36"/>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563064B"/>
    <w:multiLevelType w:val="hybridMultilevel"/>
    <w:tmpl w:val="7B5AAB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58F1288"/>
    <w:multiLevelType w:val="hybridMultilevel"/>
    <w:tmpl w:val="83B4F8E6"/>
    <w:lvl w:ilvl="0" w:tplc="1744EA7A">
      <w:start w:val="1"/>
      <w:numFmt w:val="bullet"/>
      <w:lvlText w:val=""/>
      <w:lvlJc w:val="left"/>
      <w:pPr>
        <w:ind w:left="720" w:hanging="360"/>
      </w:pPr>
      <w:rPr>
        <w:rFonts w:ascii="Symbol" w:hAnsi="Symbol" w:hint="default"/>
        <w:color w:val="003639"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6316AAC"/>
    <w:multiLevelType w:val="hybridMultilevel"/>
    <w:tmpl w:val="4554F7B0"/>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645544D"/>
    <w:multiLevelType w:val="hybridMultilevel"/>
    <w:tmpl w:val="1610D896"/>
    <w:lvl w:ilvl="0" w:tplc="6E78690E">
      <w:start w:val="1"/>
      <w:numFmt w:val="bullet"/>
      <w:lvlText w:val=""/>
      <w:lvlJc w:val="left"/>
      <w:pPr>
        <w:ind w:left="36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56A12C00"/>
    <w:multiLevelType w:val="hybridMultilevel"/>
    <w:tmpl w:val="92BCA172"/>
    <w:lvl w:ilvl="0" w:tplc="C2B65A42">
      <w:start w:val="1"/>
      <w:numFmt w:val="bullet"/>
      <w:lvlText w:val="•"/>
      <w:lvlJc w:val="left"/>
      <w:pPr>
        <w:ind w:left="360" w:hanging="360"/>
      </w:pPr>
      <w:rPr>
        <w:rFonts w:ascii="Arial" w:eastAsia="Arial" w:hAnsi="Arial" w:cs="Arial"/>
        <w:b w:val="0"/>
        <w:i w:val="0"/>
        <w:strike w:val="0"/>
        <w:dstrike w:val="0"/>
        <w:color w:val="2C2624"/>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70104C3"/>
    <w:multiLevelType w:val="hybridMultilevel"/>
    <w:tmpl w:val="C2967A52"/>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931787B"/>
    <w:multiLevelType w:val="hybridMultilevel"/>
    <w:tmpl w:val="C576D79C"/>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D682706"/>
    <w:multiLevelType w:val="hybridMultilevel"/>
    <w:tmpl w:val="FF90D792"/>
    <w:lvl w:ilvl="0" w:tplc="6D42D4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E01190E"/>
    <w:multiLevelType w:val="hybridMultilevel"/>
    <w:tmpl w:val="CE869860"/>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EEC4577"/>
    <w:multiLevelType w:val="multilevel"/>
    <w:tmpl w:val="B8A8A4BC"/>
    <w:styleLink w:val="CurrentList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0B001DD"/>
    <w:multiLevelType w:val="hybridMultilevel"/>
    <w:tmpl w:val="73C48ECA"/>
    <w:lvl w:ilvl="0" w:tplc="F3BE5F68">
      <w:start w:val="1"/>
      <w:numFmt w:val="bullet"/>
      <w:lvlText w:val="o"/>
      <w:lvlJc w:val="left"/>
      <w:pPr>
        <w:ind w:left="748" w:hanging="360"/>
      </w:pPr>
      <w:rPr>
        <w:rFonts w:ascii="Courier New" w:hAnsi="Courier New"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74"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3AE6708"/>
    <w:multiLevelType w:val="multilevel"/>
    <w:tmpl w:val="DC12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7A4473F"/>
    <w:multiLevelType w:val="hybridMultilevel"/>
    <w:tmpl w:val="706A1428"/>
    <w:lvl w:ilvl="0" w:tplc="10C47030">
      <w:start w:val="1"/>
      <w:numFmt w:val="bullet"/>
      <w:lvlText w:val="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B69625D"/>
    <w:multiLevelType w:val="hybridMultilevel"/>
    <w:tmpl w:val="0658CFDA"/>
    <w:lvl w:ilvl="0" w:tplc="8C58A1CE">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CEE3D27"/>
    <w:multiLevelType w:val="hybridMultilevel"/>
    <w:tmpl w:val="A4FA9172"/>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E4B0CC0"/>
    <w:multiLevelType w:val="hybridMultilevel"/>
    <w:tmpl w:val="13ECBF1A"/>
    <w:lvl w:ilvl="0" w:tplc="F5321AA8">
      <w:start w:val="1"/>
      <w:numFmt w:val="decimal"/>
      <w:lvlText w:val="%1."/>
      <w:lvlJc w:val="left"/>
      <w:pPr>
        <w:ind w:left="410" w:hanging="360"/>
      </w:pPr>
      <w:rPr>
        <w:rFonts w:asciiTheme="minorHAnsi" w:eastAsiaTheme="minorHAnsi" w:hAnsiTheme="minorHAnsi" w:cstheme="minorBidi"/>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81"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02D3C94"/>
    <w:multiLevelType w:val="hybridMultilevel"/>
    <w:tmpl w:val="EF343814"/>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83" w15:restartNumberingAfterBreak="0">
    <w:nsid w:val="736A00DC"/>
    <w:multiLevelType w:val="hybridMultilevel"/>
    <w:tmpl w:val="B10A4200"/>
    <w:lvl w:ilvl="0" w:tplc="EE54C5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5CC5FEB"/>
    <w:multiLevelType w:val="multilevel"/>
    <w:tmpl w:val="F930508A"/>
    <w:styleLink w:val="CurrentList27"/>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85"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72B0F23"/>
    <w:multiLevelType w:val="hybridMultilevel"/>
    <w:tmpl w:val="E946B744"/>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5D6BE0"/>
    <w:multiLevelType w:val="hybridMultilevel"/>
    <w:tmpl w:val="F6DCFDC6"/>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85C296D"/>
    <w:multiLevelType w:val="hybridMultilevel"/>
    <w:tmpl w:val="FD6E0F02"/>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A8B063C"/>
    <w:multiLevelType w:val="multilevel"/>
    <w:tmpl w:val="83B4F8E6"/>
    <w:styleLink w:val="CurrentList28"/>
    <w:lvl w:ilvl="0">
      <w:start w:val="1"/>
      <w:numFmt w:val="bullet"/>
      <w:lvlText w:val=""/>
      <w:lvlJc w:val="left"/>
      <w:pPr>
        <w:ind w:left="720" w:hanging="360"/>
      </w:pPr>
      <w:rPr>
        <w:rFonts w:ascii="Symbol" w:hAnsi="Symbol" w:hint="default"/>
        <w:color w:val="003639"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C657939"/>
    <w:multiLevelType w:val="hybridMultilevel"/>
    <w:tmpl w:val="8BCC9996"/>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D1F5AC3"/>
    <w:multiLevelType w:val="hybridMultilevel"/>
    <w:tmpl w:val="AFD4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E5F4E41"/>
    <w:multiLevelType w:val="hybridMultilevel"/>
    <w:tmpl w:val="E8767922"/>
    <w:lvl w:ilvl="0" w:tplc="A5BE10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EC06F68"/>
    <w:multiLevelType w:val="hybridMultilevel"/>
    <w:tmpl w:val="92486D92"/>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F040A77"/>
    <w:multiLevelType w:val="hybridMultilevel"/>
    <w:tmpl w:val="B3DA1E42"/>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1271962">
    <w:abstractNumId w:val="24"/>
  </w:num>
  <w:num w:numId="2" w16cid:durableId="1481380998">
    <w:abstractNumId w:val="49"/>
  </w:num>
  <w:num w:numId="3" w16cid:durableId="2073429845">
    <w:abstractNumId w:val="41"/>
  </w:num>
  <w:num w:numId="4" w16cid:durableId="867914002">
    <w:abstractNumId w:val="80"/>
  </w:num>
  <w:num w:numId="5" w16cid:durableId="914244772">
    <w:abstractNumId w:val="55"/>
  </w:num>
  <w:num w:numId="6" w16cid:durableId="526912594">
    <w:abstractNumId w:val="1"/>
  </w:num>
  <w:num w:numId="7" w16cid:durableId="1157310107">
    <w:abstractNumId w:val="26"/>
  </w:num>
  <w:num w:numId="8" w16cid:durableId="789935952">
    <w:abstractNumId w:val="53"/>
  </w:num>
  <w:num w:numId="9" w16cid:durableId="260989327">
    <w:abstractNumId w:val="22"/>
  </w:num>
  <w:num w:numId="10" w16cid:durableId="102966783">
    <w:abstractNumId w:val="28"/>
  </w:num>
  <w:num w:numId="11" w16cid:durableId="1952322154">
    <w:abstractNumId w:val="15"/>
  </w:num>
  <w:num w:numId="12" w16cid:durableId="1948582572">
    <w:abstractNumId w:val="35"/>
  </w:num>
  <w:num w:numId="13" w16cid:durableId="476920007">
    <w:abstractNumId w:val="37"/>
  </w:num>
  <w:num w:numId="14" w16cid:durableId="1971814264">
    <w:abstractNumId w:val="60"/>
  </w:num>
  <w:num w:numId="15" w16cid:durableId="2105497072">
    <w:abstractNumId w:val="3"/>
  </w:num>
  <w:num w:numId="16" w16cid:durableId="2013290863">
    <w:abstractNumId w:val="25"/>
  </w:num>
  <w:num w:numId="17" w16cid:durableId="1871214294">
    <w:abstractNumId w:val="58"/>
  </w:num>
  <w:num w:numId="18" w16cid:durableId="582571769">
    <w:abstractNumId w:val="59"/>
  </w:num>
  <w:num w:numId="19" w16cid:durableId="87045628">
    <w:abstractNumId w:val="95"/>
  </w:num>
  <w:num w:numId="20" w16cid:durableId="1255088049">
    <w:abstractNumId w:val="89"/>
  </w:num>
  <w:num w:numId="21" w16cid:durableId="675349026">
    <w:abstractNumId w:val="90"/>
  </w:num>
  <w:num w:numId="22" w16cid:durableId="343823591">
    <w:abstractNumId w:val="33"/>
  </w:num>
  <w:num w:numId="23" w16cid:durableId="1527407625">
    <w:abstractNumId w:val="92"/>
  </w:num>
  <w:num w:numId="24" w16cid:durableId="1531719898">
    <w:abstractNumId w:val="16"/>
  </w:num>
  <w:num w:numId="25" w16cid:durableId="1140539399">
    <w:abstractNumId w:val="2"/>
  </w:num>
  <w:num w:numId="26" w16cid:durableId="1498765475">
    <w:abstractNumId w:val="85"/>
  </w:num>
  <w:num w:numId="27" w16cid:durableId="49234881">
    <w:abstractNumId w:val="31"/>
  </w:num>
  <w:num w:numId="28" w16cid:durableId="241764143">
    <w:abstractNumId w:val="43"/>
  </w:num>
  <w:num w:numId="29" w16cid:durableId="512258842">
    <w:abstractNumId w:val="72"/>
  </w:num>
  <w:num w:numId="30" w16cid:durableId="893009237">
    <w:abstractNumId w:val="76"/>
  </w:num>
  <w:num w:numId="31" w16cid:durableId="172383324">
    <w:abstractNumId w:val="10"/>
  </w:num>
  <w:num w:numId="32" w16cid:durableId="1636911413">
    <w:abstractNumId w:val="46"/>
  </w:num>
  <w:num w:numId="33" w16cid:durableId="208735195">
    <w:abstractNumId w:val="93"/>
  </w:num>
  <w:num w:numId="34" w16cid:durableId="1877348274">
    <w:abstractNumId w:val="68"/>
  </w:num>
  <w:num w:numId="35" w16cid:durableId="191000540">
    <w:abstractNumId w:val="50"/>
  </w:num>
  <w:num w:numId="36" w16cid:durableId="2017264926">
    <w:abstractNumId w:val="74"/>
  </w:num>
  <w:num w:numId="37" w16cid:durableId="86584610">
    <w:abstractNumId w:val="77"/>
  </w:num>
  <w:num w:numId="38" w16cid:durableId="863515313">
    <w:abstractNumId w:val="51"/>
  </w:num>
  <w:num w:numId="39" w16cid:durableId="360670026">
    <w:abstractNumId w:val="56"/>
  </w:num>
  <w:num w:numId="40" w16cid:durableId="1789854579">
    <w:abstractNumId w:val="32"/>
  </w:num>
  <w:num w:numId="41" w16cid:durableId="126362175">
    <w:abstractNumId w:val="6"/>
  </w:num>
  <w:num w:numId="42" w16cid:durableId="259215056">
    <w:abstractNumId w:val="11"/>
  </w:num>
  <w:num w:numId="43" w16cid:durableId="1666395211">
    <w:abstractNumId w:val="78"/>
  </w:num>
  <w:num w:numId="44" w16cid:durableId="864245401">
    <w:abstractNumId w:val="30"/>
  </w:num>
  <w:num w:numId="45" w16cid:durableId="1071579377">
    <w:abstractNumId w:val="13"/>
  </w:num>
  <w:num w:numId="46" w16cid:durableId="2135251649">
    <w:abstractNumId w:val="7"/>
  </w:num>
  <w:num w:numId="47" w16cid:durableId="886332501">
    <w:abstractNumId w:val="87"/>
  </w:num>
  <w:num w:numId="48" w16cid:durableId="304893534">
    <w:abstractNumId w:val="19"/>
  </w:num>
  <w:num w:numId="49" w16cid:durableId="1743797270">
    <w:abstractNumId w:val="34"/>
  </w:num>
  <w:num w:numId="50" w16cid:durableId="2112314002">
    <w:abstractNumId w:val="18"/>
  </w:num>
  <w:num w:numId="51" w16cid:durableId="2123183660">
    <w:abstractNumId w:val="67"/>
  </w:num>
  <w:num w:numId="52" w16cid:durableId="191191284">
    <w:abstractNumId w:val="75"/>
  </w:num>
  <w:num w:numId="53" w16cid:durableId="1459569052">
    <w:abstractNumId w:val="54"/>
  </w:num>
  <w:num w:numId="54" w16cid:durableId="203058416">
    <w:abstractNumId w:val="94"/>
  </w:num>
  <w:num w:numId="55" w16cid:durableId="1953440539">
    <w:abstractNumId w:val="29"/>
  </w:num>
  <w:num w:numId="56" w16cid:durableId="91242832">
    <w:abstractNumId w:val="70"/>
  </w:num>
  <w:num w:numId="57" w16cid:durableId="1768649661">
    <w:abstractNumId w:val="86"/>
  </w:num>
  <w:num w:numId="58" w16cid:durableId="1366785444">
    <w:abstractNumId w:val="66"/>
  </w:num>
  <w:num w:numId="59" w16cid:durableId="281304521">
    <w:abstractNumId w:val="69"/>
  </w:num>
  <w:num w:numId="60" w16cid:durableId="901981696">
    <w:abstractNumId w:val="71"/>
  </w:num>
  <w:num w:numId="61" w16cid:durableId="367067608">
    <w:abstractNumId w:val="97"/>
  </w:num>
  <w:num w:numId="62" w16cid:durableId="1952470059">
    <w:abstractNumId w:val="5"/>
  </w:num>
  <w:num w:numId="63" w16cid:durableId="793253488">
    <w:abstractNumId w:val="8"/>
  </w:num>
  <w:num w:numId="64" w16cid:durableId="584530676">
    <w:abstractNumId w:val="45"/>
  </w:num>
  <w:num w:numId="65" w16cid:durableId="86124088">
    <w:abstractNumId w:val="14"/>
  </w:num>
  <w:num w:numId="66" w16cid:durableId="240481680">
    <w:abstractNumId w:val="84"/>
  </w:num>
  <w:num w:numId="67" w16cid:durableId="750272225">
    <w:abstractNumId w:val="82"/>
  </w:num>
  <w:num w:numId="68" w16cid:durableId="1335721149">
    <w:abstractNumId w:val="20"/>
  </w:num>
  <w:num w:numId="69" w16cid:durableId="427700339">
    <w:abstractNumId w:val="81"/>
  </w:num>
  <w:num w:numId="70" w16cid:durableId="1995141312">
    <w:abstractNumId w:val="42"/>
  </w:num>
  <w:num w:numId="71" w16cid:durableId="2103455135">
    <w:abstractNumId w:val="61"/>
  </w:num>
  <w:num w:numId="72" w16cid:durableId="1080759387">
    <w:abstractNumId w:val="0"/>
  </w:num>
  <w:num w:numId="73" w16cid:durableId="551120743">
    <w:abstractNumId w:val="23"/>
  </w:num>
  <w:num w:numId="74" w16cid:durableId="300815571">
    <w:abstractNumId w:val="39"/>
  </w:num>
  <w:num w:numId="75" w16cid:durableId="252517176">
    <w:abstractNumId w:val="64"/>
  </w:num>
  <w:num w:numId="76" w16cid:durableId="1896164749">
    <w:abstractNumId w:val="21"/>
  </w:num>
  <w:num w:numId="77" w16cid:durableId="762458019">
    <w:abstractNumId w:val="44"/>
  </w:num>
  <w:num w:numId="78" w16cid:durableId="738289155">
    <w:abstractNumId w:val="12"/>
  </w:num>
  <w:num w:numId="79" w16cid:durableId="1531601558">
    <w:abstractNumId w:val="52"/>
  </w:num>
  <w:num w:numId="80" w16cid:durableId="1543131728">
    <w:abstractNumId w:val="4"/>
  </w:num>
  <w:num w:numId="81" w16cid:durableId="337929494">
    <w:abstractNumId w:val="47"/>
  </w:num>
  <w:num w:numId="82" w16cid:durableId="1412197908">
    <w:abstractNumId w:val="48"/>
  </w:num>
  <w:num w:numId="83" w16cid:durableId="1088114750">
    <w:abstractNumId w:val="63"/>
  </w:num>
  <w:num w:numId="84" w16cid:durableId="415516017">
    <w:abstractNumId w:val="36"/>
  </w:num>
  <w:num w:numId="85" w16cid:durableId="1022779700">
    <w:abstractNumId w:val="9"/>
  </w:num>
  <w:num w:numId="86" w16cid:durableId="1078747758">
    <w:abstractNumId w:val="73"/>
  </w:num>
  <w:num w:numId="87" w16cid:durableId="1235701848">
    <w:abstractNumId w:val="91"/>
  </w:num>
  <w:num w:numId="88" w16cid:durableId="18242534">
    <w:abstractNumId w:val="38"/>
  </w:num>
  <w:num w:numId="89" w16cid:durableId="319777598">
    <w:abstractNumId w:val="88"/>
  </w:num>
  <w:num w:numId="90" w16cid:durableId="1382898702">
    <w:abstractNumId w:val="57"/>
  </w:num>
  <w:num w:numId="91" w16cid:durableId="1569724863">
    <w:abstractNumId w:val="79"/>
  </w:num>
  <w:num w:numId="92" w16cid:durableId="2113283374">
    <w:abstractNumId w:val="96"/>
  </w:num>
  <w:num w:numId="93" w16cid:durableId="2086299613">
    <w:abstractNumId w:val="65"/>
  </w:num>
  <w:num w:numId="94" w16cid:durableId="1132939864">
    <w:abstractNumId w:val="62"/>
  </w:num>
  <w:num w:numId="95" w16cid:durableId="682514062">
    <w:abstractNumId w:val="40"/>
  </w:num>
  <w:num w:numId="96" w16cid:durableId="132212155">
    <w:abstractNumId w:val="17"/>
  </w:num>
  <w:num w:numId="97" w16cid:durableId="26681683">
    <w:abstractNumId w:val="27"/>
  </w:num>
  <w:num w:numId="98" w16cid:durableId="1740713502">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2"/>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6"/>
    <w:rsid w:val="00002622"/>
    <w:rsid w:val="000128F4"/>
    <w:rsid w:val="00024896"/>
    <w:rsid w:val="0003756B"/>
    <w:rsid w:val="000450A2"/>
    <w:rsid w:val="000454DA"/>
    <w:rsid w:val="000515F9"/>
    <w:rsid w:val="000603AB"/>
    <w:rsid w:val="0006296B"/>
    <w:rsid w:val="00062BD8"/>
    <w:rsid w:val="00063E4B"/>
    <w:rsid w:val="00071C2E"/>
    <w:rsid w:val="00076E46"/>
    <w:rsid w:val="00094CC2"/>
    <w:rsid w:val="000A2C89"/>
    <w:rsid w:val="000A4961"/>
    <w:rsid w:val="000B4296"/>
    <w:rsid w:val="000D1252"/>
    <w:rsid w:val="000D272D"/>
    <w:rsid w:val="000D2A51"/>
    <w:rsid w:val="000E17D0"/>
    <w:rsid w:val="000F3667"/>
    <w:rsid w:val="000F7FCD"/>
    <w:rsid w:val="0011185A"/>
    <w:rsid w:val="00112B36"/>
    <w:rsid w:val="00123D7A"/>
    <w:rsid w:val="001250CB"/>
    <w:rsid w:val="0012516F"/>
    <w:rsid w:val="0014682D"/>
    <w:rsid w:val="00147E41"/>
    <w:rsid w:val="0015523F"/>
    <w:rsid w:val="001654F2"/>
    <w:rsid w:val="0017049A"/>
    <w:rsid w:val="001763D5"/>
    <w:rsid w:val="001800BC"/>
    <w:rsid w:val="00180C01"/>
    <w:rsid w:val="00193FB2"/>
    <w:rsid w:val="00194480"/>
    <w:rsid w:val="001A409B"/>
    <w:rsid w:val="001B0CDE"/>
    <w:rsid w:val="001B2B8E"/>
    <w:rsid w:val="001B5BDD"/>
    <w:rsid w:val="001D1FA9"/>
    <w:rsid w:val="001D5ACB"/>
    <w:rsid w:val="001D730A"/>
    <w:rsid w:val="001E761A"/>
    <w:rsid w:val="00202681"/>
    <w:rsid w:val="00204475"/>
    <w:rsid w:val="00207778"/>
    <w:rsid w:val="00217FB8"/>
    <w:rsid w:val="00232655"/>
    <w:rsid w:val="00236097"/>
    <w:rsid w:val="002401CB"/>
    <w:rsid w:val="00242B5C"/>
    <w:rsid w:val="00245A36"/>
    <w:rsid w:val="00253AB5"/>
    <w:rsid w:val="002603A9"/>
    <w:rsid w:val="002629E4"/>
    <w:rsid w:val="00267F39"/>
    <w:rsid w:val="002742FD"/>
    <w:rsid w:val="002748EB"/>
    <w:rsid w:val="002814F7"/>
    <w:rsid w:val="00282114"/>
    <w:rsid w:val="0029107A"/>
    <w:rsid w:val="002A314C"/>
    <w:rsid w:val="002B1683"/>
    <w:rsid w:val="002B7883"/>
    <w:rsid w:val="002D6410"/>
    <w:rsid w:val="002E09ED"/>
    <w:rsid w:val="002E1E6F"/>
    <w:rsid w:val="002E1EBB"/>
    <w:rsid w:val="002F0FCF"/>
    <w:rsid w:val="003009D2"/>
    <w:rsid w:val="00303204"/>
    <w:rsid w:val="003045D6"/>
    <w:rsid w:val="00304B67"/>
    <w:rsid w:val="00310463"/>
    <w:rsid w:val="00313B6B"/>
    <w:rsid w:val="00322E4C"/>
    <w:rsid w:val="00337F3E"/>
    <w:rsid w:val="003443BE"/>
    <w:rsid w:val="00346F00"/>
    <w:rsid w:val="00351CFC"/>
    <w:rsid w:val="00352757"/>
    <w:rsid w:val="00357991"/>
    <w:rsid w:val="00361631"/>
    <w:rsid w:val="0036787B"/>
    <w:rsid w:val="00374953"/>
    <w:rsid w:val="0037663F"/>
    <w:rsid w:val="0038102A"/>
    <w:rsid w:val="00382806"/>
    <w:rsid w:val="0038475E"/>
    <w:rsid w:val="00385020"/>
    <w:rsid w:val="0039122A"/>
    <w:rsid w:val="0039379B"/>
    <w:rsid w:val="003A5AB1"/>
    <w:rsid w:val="003A6424"/>
    <w:rsid w:val="003B06B3"/>
    <w:rsid w:val="003B1873"/>
    <w:rsid w:val="003B1E39"/>
    <w:rsid w:val="003B2327"/>
    <w:rsid w:val="003B3762"/>
    <w:rsid w:val="003B4C64"/>
    <w:rsid w:val="003B677A"/>
    <w:rsid w:val="003C0758"/>
    <w:rsid w:val="003C1296"/>
    <w:rsid w:val="003C2317"/>
    <w:rsid w:val="003C7753"/>
    <w:rsid w:val="003D3093"/>
    <w:rsid w:val="003E48D4"/>
    <w:rsid w:val="003F38AD"/>
    <w:rsid w:val="003F7E73"/>
    <w:rsid w:val="00401003"/>
    <w:rsid w:val="00405180"/>
    <w:rsid w:val="00410413"/>
    <w:rsid w:val="0041387B"/>
    <w:rsid w:val="004144B4"/>
    <w:rsid w:val="00424434"/>
    <w:rsid w:val="00433AF8"/>
    <w:rsid w:val="0043619D"/>
    <w:rsid w:val="004362BD"/>
    <w:rsid w:val="00444440"/>
    <w:rsid w:val="00447F8F"/>
    <w:rsid w:val="00454BB6"/>
    <w:rsid w:val="00454F93"/>
    <w:rsid w:val="00457A11"/>
    <w:rsid w:val="00460661"/>
    <w:rsid w:val="004628D9"/>
    <w:rsid w:val="00483E2F"/>
    <w:rsid w:val="00490857"/>
    <w:rsid w:val="004908C6"/>
    <w:rsid w:val="00494224"/>
    <w:rsid w:val="0049452E"/>
    <w:rsid w:val="004951D8"/>
    <w:rsid w:val="00495E31"/>
    <w:rsid w:val="004A27C5"/>
    <w:rsid w:val="004A419C"/>
    <w:rsid w:val="004B1F13"/>
    <w:rsid w:val="004B72B4"/>
    <w:rsid w:val="004B79EA"/>
    <w:rsid w:val="004C157D"/>
    <w:rsid w:val="004D213E"/>
    <w:rsid w:val="004D7DC5"/>
    <w:rsid w:val="004E65BA"/>
    <w:rsid w:val="00505CAA"/>
    <w:rsid w:val="00510944"/>
    <w:rsid w:val="005145DD"/>
    <w:rsid w:val="005204FB"/>
    <w:rsid w:val="00521B3B"/>
    <w:rsid w:val="00522A5F"/>
    <w:rsid w:val="005311B7"/>
    <w:rsid w:val="00531AB1"/>
    <w:rsid w:val="00535CB4"/>
    <w:rsid w:val="00573297"/>
    <w:rsid w:val="00574EB7"/>
    <w:rsid w:val="00575FE5"/>
    <w:rsid w:val="00583294"/>
    <w:rsid w:val="00584AF4"/>
    <w:rsid w:val="00584D4C"/>
    <w:rsid w:val="00587B6B"/>
    <w:rsid w:val="00595B27"/>
    <w:rsid w:val="005A1C16"/>
    <w:rsid w:val="005A2BC2"/>
    <w:rsid w:val="005A3B23"/>
    <w:rsid w:val="005B03B7"/>
    <w:rsid w:val="005B78D1"/>
    <w:rsid w:val="005C22D7"/>
    <w:rsid w:val="005D6A94"/>
    <w:rsid w:val="005D6FCF"/>
    <w:rsid w:val="005E397C"/>
    <w:rsid w:val="005E7DA8"/>
    <w:rsid w:val="005F024C"/>
    <w:rsid w:val="00602610"/>
    <w:rsid w:val="00604117"/>
    <w:rsid w:val="00604432"/>
    <w:rsid w:val="00604EB2"/>
    <w:rsid w:val="006143C4"/>
    <w:rsid w:val="006234A1"/>
    <w:rsid w:val="00625561"/>
    <w:rsid w:val="006378B4"/>
    <w:rsid w:val="006509A2"/>
    <w:rsid w:val="006512E5"/>
    <w:rsid w:val="00654100"/>
    <w:rsid w:val="00661B0C"/>
    <w:rsid w:val="006634E4"/>
    <w:rsid w:val="006711AA"/>
    <w:rsid w:val="00671A02"/>
    <w:rsid w:val="00674DDB"/>
    <w:rsid w:val="006775FA"/>
    <w:rsid w:val="00677ED1"/>
    <w:rsid w:val="006850E8"/>
    <w:rsid w:val="006B3855"/>
    <w:rsid w:val="006B710A"/>
    <w:rsid w:val="006C424A"/>
    <w:rsid w:val="006C4963"/>
    <w:rsid w:val="006C4A43"/>
    <w:rsid w:val="006D5D7F"/>
    <w:rsid w:val="006E648A"/>
    <w:rsid w:val="00704EB2"/>
    <w:rsid w:val="00710667"/>
    <w:rsid w:val="00717E1E"/>
    <w:rsid w:val="00721EBC"/>
    <w:rsid w:val="00733A33"/>
    <w:rsid w:val="00733CD3"/>
    <w:rsid w:val="007420B6"/>
    <w:rsid w:val="00760F5E"/>
    <w:rsid w:val="0076309A"/>
    <w:rsid w:val="0076321D"/>
    <w:rsid w:val="00767D37"/>
    <w:rsid w:val="00784AB4"/>
    <w:rsid w:val="007A6177"/>
    <w:rsid w:val="007A6195"/>
    <w:rsid w:val="007C63F9"/>
    <w:rsid w:val="007D55B3"/>
    <w:rsid w:val="007E0C8C"/>
    <w:rsid w:val="00807EBF"/>
    <w:rsid w:val="008103A2"/>
    <w:rsid w:val="00812CAC"/>
    <w:rsid w:val="00815044"/>
    <w:rsid w:val="0081729B"/>
    <w:rsid w:val="00832844"/>
    <w:rsid w:val="00835A65"/>
    <w:rsid w:val="008360D5"/>
    <w:rsid w:val="00837D46"/>
    <w:rsid w:val="0084363C"/>
    <w:rsid w:val="0084538A"/>
    <w:rsid w:val="008560C8"/>
    <w:rsid w:val="00861D6F"/>
    <w:rsid w:val="00862FB0"/>
    <w:rsid w:val="00872031"/>
    <w:rsid w:val="00872066"/>
    <w:rsid w:val="00890FB7"/>
    <w:rsid w:val="00895182"/>
    <w:rsid w:val="008A1F68"/>
    <w:rsid w:val="008B018B"/>
    <w:rsid w:val="008B081B"/>
    <w:rsid w:val="008C39A7"/>
    <w:rsid w:val="008C53D9"/>
    <w:rsid w:val="008C6974"/>
    <w:rsid w:val="008D00A7"/>
    <w:rsid w:val="008D1163"/>
    <w:rsid w:val="008D1422"/>
    <w:rsid w:val="008D3AC0"/>
    <w:rsid w:val="008D4AEF"/>
    <w:rsid w:val="008E7E18"/>
    <w:rsid w:val="008F4301"/>
    <w:rsid w:val="008F462D"/>
    <w:rsid w:val="00907489"/>
    <w:rsid w:val="009125AF"/>
    <w:rsid w:val="009154A9"/>
    <w:rsid w:val="00920246"/>
    <w:rsid w:val="00924AD3"/>
    <w:rsid w:val="00933FDE"/>
    <w:rsid w:val="00943924"/>
    <w:rsid w:val="009465A6"/>
    <w:rsid w:val="009508D4"/>
    <w:rsid w:val="009560F2"/>
    <w:rsid w:val="00961C9B"/>
    <w:rsid w:val="00970828"/>
    <w:rsid w:val="0097623F"/>
    <w:rsid w:val="009805BE"/>
    <w:rsid w:val="0098129E"/>
    <w:rsid w:val="009869A1"/>
    <w:rsid w:val="009A09B9"/>
    <w:rsid w:val="009C2F54"/>
    <w:rsid w:val="009C2F6E"/>
    <w:rsid w:val="009D0CF1"/>
    <w:rsid w:val="009D1D5B"/>
    <w:rsid w:val="009D1F7D"/>
    <w:rsid w:val="009D3351"/>
    <w:rsid w:val="009D48C2"/>
    <w:rsid w:val="009D7FAD"/>
    <w:rsid w:val="009E3FA6"/>
    <w:rsid w:val="009E59BD"/>
    <w:rsid w:val="009E7213"/>
    <w:rsid w:val="009E7B62"/>
    <w:rsid w:val="009F03ED"/>
    <w:rsid w:val="009F1366"/>
    <w:rsid w:val="009F4937"/>
    <w:rsid w:val="009F54D3"/>
    <w:rsid w:val="009F5CB3"/>
    <w:rsid w:val="009F5E0E"/>
    <w:rsid w:val="00A00662"/>
    <w:rsid w:val="00A06058"/>
    <w:rsid w:val="00A066E1"/>
    <w:rsid w:val="00A071BF"/>
    <w:rsid w:val="00A12A88"/>
    <w:rsid w:val="00A138A4"/>
    <w:rsid w:val="00A30490"/>
    <w:rsid w:val="00A3589F"/>
    <w:rsid w:val="00A409F9"/>
    <w:rsid w:val="00A61AB9"/>
    <w:rsid w:val="00A927E8"/>
    <w:rsid w:val="00A9422D"/>
    <w:rsid w:val="00A97CA6"/>
    <w:rsid w:val="00AB0BAB"/>
    <w:rsid w:val="00AB5AC3"/>
    <w:rsid w:val="00AB7ACC"/>
    <w:rsid w:val="00AD2AE1"/>
    <w:rsid w:val="00AE547D"/>
    <w:rsid w:val="00B02A49"/>
    <w:rsid w:val="00B06239"/>
    <w:rsid w:val="00B12614"/>
    <w:rsid w:val="00B14E0C"/>
    <w:rsid w:val="00B160B4"/>
    <w:rsid w:val="00B172DD"/>
    <w:rsid w:val="00B17DFC"/>
    <w:rsid w:val="00B20479"/>
    <w:rsid w:val="00B27D9E"/>
    <w:rsid w:val="00B32B25"/>
    <w:rsid w:val="00B35920"/>
    <w:rsid w:val="00B42C5C"/>
    <w:rsid w:val="00B51825"/>
    <w:rsid w:val="00B60987"/>
    <w:rsid w:val="00B64510"/>
    <w:rsid w:val="00B71E64"/>
    <w:rsid w:val="00B919CB"/>
    <w:rsid w:val="00BA3640"/>
    <w:rsid w:val="00BA4464"/>
    <w:rsid w:val="00BB0065"/>
    <w:rsid w:val="00BB2FC2"/>
    <w:rsid w:val="00BB4227"/>
    <w:rsid w:val="00BC10E6"/>
    <w:rsid w:val="00BC4F80"/>
    <w:rsid w:val="00BD04CF"/>
    <w:rsid w:val="00BD1EA1"/>
    <w:rsid w:val="00BD43DE"/>
    <w:rsid w:val="00BE501B"/>
    <w:rsid w:val="00C032AA"/>
    <w:rsid w:val="00C14AE7"/>
    <w:rsid w:val="00C259ED"/>
    <w:rsid w:val="00C3006C"/>
    <w:rsid w:val="00C449E6"/>
    <w:rsid w:val="00C479D0"/>
    <w:rsid w:val="00C5149C"/>
    <w:rsid w:val="00C51D4B"/>
    <w:rsid w:val="00C55741"/>
    <w:rsid w:val="00C73A29"/>
    <w:rsid w:val="00C75F88"/>
    <w:rsid w:val="00C97561"/>
    <w:rsid w:val="00CA1A60"/>
    <w:rsid w:val="00CB411C"/>
    <w:rsid w:val="00CB5497"/>
    <w:rsid w:val="00CC4E5F"/>
    <w:rsid w:val="00CE2F77"/>
    <w:rsid w:val="00CF4002"/>
    <w:rsid w:val="00CF574D"/>
    <w:rsid w:val="00D039A9"/>
    <w:rsid w:val="00D0724A"/>
    <w:rsid w:val="00D075B4"/>
    <w:rsid w:val="00D0774F"/>
    <w:rsid w:val="00D17A9D"/>
    <w:rsid w:val="00D33AC6"/>
    <w:rsid w:val="00D36D34"/>
    <w:rsid w:val="00D51E01"/>
    <w:rsid w:val="00D7344F"/>
    <w:rsid w:val="00D818CB"/>
    <w:rsid w:val="00D83132"/>
    <w:rsid w:val="00D94744"/>
    <w:rsid w:val="00DA3F32"/>
    <w:rsid w:val="00DC550F"/>
    <w:rsid w:val="00DE2F56"/>
    <w:rsid w:val="00DE474E"/>
    <w:rsid w:val="00DF11B2"/>
    <w:rsid w:val="00DF5078"/>
    <w:rsid w:val="00E21BFB"/>
    <w:rsid w:val="00E2347B"/>
    <w:rsid w:val="00E24400"/>
    <w:rsid w:val="00E30A31"/>
    <w:rsid w:val="00E3168F"/>
    <w:rsid w:val="00E34C52"/>
    <w:rsid w:val="00E47653"/>
    <w:rsid w:val="00E51A27"/>
    <w:rsid w:val="00E61E84"/>
    <w:rsid w:val="00E627D5"/>
    <w:rsid w:val="00E63AAF"/>
    <w:rsid w:val="00E66133"/>
    <w:rsid w:val="00E70C32"/>
    <w:rsid w:val="00E75182"/>
    <w:rsid w:val="00E756DB"/>
    <w:rsid w:val="00E83689"/>
    <w:rsid w:val="00E90B22"/>
    <w:rsid w:val="00E97906"/>
    <w:rsid w:val="00E97F24"/>
    <w:rsid w:val="00EA095D"/>
    <w:rsid w:val="00EC03C2"/>
    <w:rsid w:val="00EC1C46"/>
    <w:rsid w:val="00EC3274"/>
    <w:rsid w:val="00ED17A0"/>
    <w:rsid w:val="00EF2858"/>
    <w:rsid w:val="00F045AE"/>
    <w:rsid w:val="00F04749"/>
    <w:rsid w:val="00F04B05"/>
    <w:rsid w:val="00F25665"/>
    <w:rsid w:val="00F3360F"/>
    <w:rsid w:val="00F34A67"/>
    <w:rsid w:val="00F4155D"/>
    <w:rsid w:val="00F44C9A"/>
    <w:rsid w:val="00F462B2"/>
    <w:rsid w:val="00F55463"/>
    <w:rsid w:val="00F6152B"/>
    <w:rsid w:val="00F61F79"/>
    <w:rsid w:val="00F667CA"/>
    <w:rsid w:val="00F6681B"/>
    <w:rsid w:val="00F712BF"/>
    <w:rsid w:val="00F73EF1"/>
    <w:rsid w:val="00F765DB"/>
    <w:rsid w:val="00F80FAB"/>
    <w:rsid w:val="00F85BF3"/>
    <w:rsid w:val="00F90B8B"/>
    <w:rsid w:val="00F9124E"/>
    <w:rsid w:val="00F932C5"/>
    <w:rsid w:val="00FA03A9"/>
    <w:rsid w:val="00FA3A09"/>
    <w:rsid w:val="00FA6EB5"/>
    <w:rsid w:val="00FB04C8"/>
    <w:rsid w:val="00FB1D51"/>
    <w:rsid w:val="00FB34A5"/>
    <w:rsid w:val="00FC0692"/>
    <w:rsid w:val="00FC39BE"/>
    <w:rsid w:val="00FD3A54"/>
    <w:rsid w:val="00FE6644"/>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1BB"/>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193FB2"/>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rsid w:val="002F0FCF"/>
    <w:rPr>
      <w:sz w:val="20"/>
      <w:szCs w:val="20"/>
    </w:rPr>
  </w:style>
  <w:style w:type="character" w:styleId="FootnoteReference">
    <w:name w:val="footnote reference"/>
    <w:basedOn w:val="DefaultParagraphFont"/>
    <w:uiPriority w:val="8"/>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FB34A5"/>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FB34A5"/>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193FB2"/>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4144B4"/>
    <w:pPr>
      <w:spacing w:after="0" w:line="240" w:lineRule="auto"/>
    </w:pPr>
    <w:rPr>
      <w:color w:val="00363A"/>
    </w:rPr>
    <w:tblPr>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 w:val="20"/>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 w:val="20"/>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unhideWhenUsed/>
    <w:rsid w:val="007D55B3"/>
    <w:rPr>
      <w:color w:val="FF4900" w:themeColor="accent1"/>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20"/>
      </w:numPr>
    </w:pPr>
  </w:style>
  <w:style w:type="numbering" w:customStyle="1" w:styleId="CurrentList2">
    <w:name w:val="Current List2"/>
    <w:uiPriority w:val="99"/>
    <w:rsid w:val="00374953"/>
    <w:pPr>
      <w:numPr>
        <w:numId w:val="21"/>
      </w:numPr>
    </w:pPr>
  </w:style>
  <w:style w:type="numbering" w:customStyle="1" w:styleId="CurrentList3">
    <w:name w:val="Current List3"/>
    <w:uiPriority w:val="99"/>
    <w:rsid w:val="00374953"/>
    <w:pPr>
      <w:numPr>
        <w:numId w:val="22"/>
      </w:numPr>
    </w:pPr>
  </w:style>
  <w:style w:type="numbering" w:customStyle="1" w:styleId="CurrentList4">
    <w:name w:val="Current List4"/>
    <w:uiPriority w:val="99"/>
    <w:rsid w:val="00374953"/>
    <w:pPr>
      <w:numPr>
        <w:numId w:val="23"/>
      </w:numPr>
    </w:pPr>
  </w:style>
  <w:style w:type="numbering" w:customStyle="1" w:styleId="CurrentList5">
    <w:name w:val="Current List5"/>
    <w:uiPriority w:val="99"/>
    <w:rsid w:val="00374953"/>
    <w:pPr>
      <w:numPr>
        <w:numId w:val="24"/>
      </w:numPr>
    </w:pPr>
  </w:style>
  <w:style w:type="numbering" w:customStyle="1" w:styleId="CurrentList6">
    <w:name w:val="Current List6"/>
    <w:uiPriority w:val="99"/>
    <w:rsid w:val="00374953"/>
    <w:pPr>
      <w:numPr>
        <w:numId w:val="25"/>
      </w:numPr>
    </w:pPr>
  </w:style>
  <w:style w:type="numbering" w:customStyle="1" w:styleId="CurrentList7">
    <w:name w:val="Current List7"/>
    <w:uiPriority w:val="99"/>
    <w:rsid w:val="00374953"/>
    <w:pPr>
      <w:numPr>
        <w:numId w:val="26"/>
      </w:numPr>
    </w:pPr>
  </w:style>
  <w:style w:type="numbering" w:customStyle="1" w:styleId="CurrentList8">
    <w:name w:val="Current List8"/>
    <w:uiPriority w:val="99"/>
    <w:rsid w:val="00E97906"/>
    <w:pPr>
      <w:numPr>
        <w:numId w:val="27"/>
      </w:numPr>
    </w:pPr>
  </w:style>
  <w:style w:type="numbering" w:customStyle="1" w:styleId="CurrentList9">
    <w:name w:val="Current List9"/>
    <w:uiPriority w:val="99"/>
    <w:rsid w:val="00E97906"/>
    <w:pPr>
      <w:numPr>
        <w:numId w:val="28"/>
      </w:numPr>
    </w:pPr>
  </w:style>
  <w:style w:type="numbering" w:customStyle="1" w:styleId="CurrentList10">
    <w:name w:val="Current List10"/>
    <w:uiPriority w:val="99"/>
    <w:rsid w:val="00E97906"/>
    <w:pPr>
      <w:numPr>
        <w:numId w:val="29"/>
      </w:numPr>
    </w:pPr>
  </w:style>
  <w:style w:type="numbering" w:customStyle="1" w:styleId="CurrentList11">
    <w:name w:val="Current List11"/>
    <w:uiPriority w:val="99"/>
    <w:rsid w:val="00E97906"/>
    <w:pPr>
      <w:numPr>
        <w:numId w:val="30"/>
      </w:numPr>
    </w:pPr>
  </w:style>
  <w:style w:type="numbering" w:customStyle="1" w:styleId="CurrentList12">
    <w:name w:val="Current List12"/>
    <w:uiPriority w:val="99"/>
    <w:rsid w:val="00E97906"/>
    <w:pPr>
      <w:numPr>
        <w:numId w:val="31"/>
      </w:numPr>
    </w:pPr>
  </w:style>
  <w:style w:type="numbering" w:customStyle="1" w:styleId="CurrentList13">
    <w:name w:val="Current List13"/>
    <w:uiPriority w:val="99"/>
    <w:rsid w:val="006C4963"/>
    <w:pPr>
      <w:numPr>
        <w:numId w:val="34"/>
      </w:numPr>
    </w:pPr>
  </w:style>
  <w:style w:type="numbering" w:customStyle="1" w:styleId="CurrentList14">
    <w:name w:val="Current List14"/>
    <w:uiPriority w:val="99"/>
    <w:rsid w:val="006C4963"/>
    <w:pPr>
      <w:numPr>
        <w:numId w:val="35"/>
      </w:numPr>
    </w:pPr>
  </w:style>
  <w:style w:type="numbering" w:customStyle="1" w:styleId="CurrentList15">
    <w:name w:val="Current List15"/>
    <w:uiPriority w:val="99"/>
    <w:rsid w:val="00112B36"/>
    <w:pPr>
      <w:numPr>
        <w:numId w:val="36"/>
      </w:numPr>
    </w:pPr>
  </w:style>
  <w:style w:type="numbering" w:customStyle="1" w:styleId="CurrentList16">
    <w:name w:val="Current List16"/>
    <w:uiPriority w:val="99"/>
    <w:rsid w:val="00112B36"/>
    <w:pPr>
      <w:numPr>
        <w:numId w:val="38"/>
      </w:numPr>
    </w:pPr>
  </w:style>
  <w:style w:type="numbering" w:customStyle="1" w:styleId="CurrentList17">
    <w:name w:val="Current List17"/>
    <w:uiPriority w:val="99"/>
    <w:rsid w:val="00112B36"/>
    <w:pPr>
      <w:numPr>
        <w:numId w:val="40"/>
      </w:numPr>
    </w:pPr>
  </w:style>
  <w:style w:type="numbering" w:customStyle="1" w:styleId="CurrentList18">
    <w:name w:val="Current List18"/>
    <w:uiPriority w:val="99"/>
    <w:rsid w:val="00112B36"/>
    <w:pPr>
      <w:numPr>
        <w:numId w:val="42"/>
      </w:numPr>
    </w:pPr>
  </w:style>
  <w:style w:type="numbering" w:customStyle="1" w:styleId="CurrentList19">
    <w:name w:val="Current List19"/>
    <w:uiPriority w:val="99"/>
    <w:rsid w:val="00112B36"/>
    <w:pPr>
      <w:numPr>
        <w:numId w:val="44"/>
      </w:numPr>
    </w:pPr>
  </w:style>
  <w:style w:type="numbering" w:customStyle="1" w:styleId="CurrentList20">
    <w:name w:val="Current List20"/>
    <w:uiPriority w:val="99"/>
    <w:rsid w:val="00112B36"/>
    <w:pPr>
      <w:numPr>
        <w:numId w:val="46"/>
      </w:numPr>
    </w:pPr>
  </w:style>
  <w:style w:type="numbering" w:customStyle="1" w:styleId="CurrentList21">
    <w:name w:val="Current List21"/>
    <w:uiPriority w:val="99"/>
    <w:rsid w:val="00112B36"/>
    <w:pPr>
      <w:numPr>
        <w:numId w:val="48"/>
      </w:numPr>
    </w:pPr>
  </w:style>
  <w:style w:type="numbering" w:customStyle="1" w:styleId="CurrentList22">
    <w:name w:val="Current List22"/>
    <w:uiPriority w:val="99"/>
    <w:rsid w:val="008C53D9"/>
    <w:pPr>
      <w:numPr>
        <w:numId w:val="50"/>
      </w:numPr>
    </w:pPr>
  </w:style>
  <w:style w:type="numbering" w:customStyle="1" w:styleId="CurrentList23">
    <w:name w:val="Current List23"/>
    <w:uiPriority w:val="99"/>
    <w:rsid w:val="008C53D9"/>
    <w:pPr>
      <w:numPr>
        <w:numId w:val="51"/>
      </w:numPr>
    </w:pPr>
  </w:style>
  <w:style w:type="paragraph" w:customStyle="1" w:styleId="TableHeading">
    <w:name w:val="Table Heading"/>
    <w:basedOn w:val="Normal"/>
    <w:rsid w:val="004144B4"/>
    <w:pPr>
      <w:keepNext/>
      <w:suppressAutoHyphens/>
      <w:spacing w:before="60" w:after="60" w:line="240" w:lineRule="auto"/>
    </w:pPr>
    <w:rPr>
      <w:rFonts w:eastAsia="Times New Roman" w:cs="Times New Roman"/>
      <w:b/>
      <w:bCs/>
      <w:color w:val="FFFDEE" w:themeColor="background1"/>
      <w:sz w:val="18"/>
      <w:szCs w:val="20"/>
      <w:lang w:val="en-US" w:eastAsia="en-AU" w:bidi="en-US"/>
    </w:rPr>
  </w:style>
  <w:style w:type="character" w:customStyle="1" w:styleId="cf01">
    <w:name w:val="cf01"/>
    <w:basedOn w:val="DefaultParagraphFont"/>
    <w:rsid w:val="004144B4"/>
    <w:rPr>
      <w:rFonts w:ascii="Segoe UI" w:hAnsi="Segoe UI" w:cs="Segoe UI" w:hint="default"/>
      <w:color w:val="FF0000"/>
      <w:sz w:val="18"/>
      <w:szCs w:val="18"/>
    </w:rPr>
  </w:style>
  <w:style w:type="character" w:customStyle="1" w:styleId="cf11">
    <w:name w:val="cf11"/>
    <w:basedOn w:val="DefaultParagraphFont"/>
    <w:rsid w:val="004144B4"/>
    <w:rPr>
      <w:rFonts w:ascii="Segoe UI" w:hAnsi="Segoe UI" w:cs="Segoe UI" w:hint="default"/>
      <w:color w:val="2C2624"/>
      <w:sz w:val="18"/>
      <w:szCs w:val="18"/>
    </w:rPr>
  </w:style>
  <w:style w:type="numbering" w:customStyle="1" w:styleId="CurrentList24">
    <w:name w:val="Current List24"/>
    <w:uiPriority w:val="99"/>
    <w:rsid w:val="00872031"/>
    <w:pPr>
      <w:numPr>
        <w:numId w:val="60"/>
      </w:numPr>
    </w:pPr>
  </w:style>
  <w:style w:type="numbering" w:customStyle="1" w:styleId="CurrentList25">
    <w:name w:val="Current List25"/>
    <w:uiPriority w:val="99"/>
    <w:rsid w:val="00872031"/>
    <w:pPr>
      <w:numPr>
        <w:numId w:val="62"/>
      </w:numPr>
    </w:pPr>
  </w:style>
  <w:style w:type="numbering" w:customStyle="1" w:styleId="CurrentList26">
    <w:name w:val="Current List26"/>
    <w:uiPriority w:val="99"/>
    <w:rsid w:val="00872031"/>
    <w:pPr>
      <w:numPr>
        <w:numId w:val="64"/>
      </w:numPr>
    </w:pPr>
  </w:style>
  <w:style w:type="numbering" w:customStyle="1" w:styleId="CurrentList27">
    <w:name w:val="Current List27"/>
    <w:uiPriority w:val="99"/>
    <w:rsid w:val="00872031"/>
    <w:pPr>
      <w:numPr>
        <w:numId w:val="66"/>
      </w:numPr>
    </w:pPr>
  </w:style>
  <w:style w:type="character" w:styleId="CommentReference">
    <w:name w:val="annotation reference"/>
    <w:basedOn w:val="DefaultParagraphFont"/>
    <w:uiPriority w:val="99"/>
    <w:semiHidden/>
    <w:unhideWhenUsed/>
    <w:rsid w:val="00677ED1"/>
    <w:rPr>
      <w:sz w:val="16"/>
      <w:szCs w:val="16"/>
    </w:rPr>
  </w:style>
  <w:style w:type="paragraph" w:styleId="CommentText">
    <w:name w:val="annotation text"/>
    <w:basedOn w:val="Normal"/>
    <w:link w:val="CommentTextChar"/>
    <w:uiPriority w:val="99"/>
    <w:unhideWhenUsed/>
    <w:rsid w:val="00677ED1"/>
    <w:pPr>
      <w:spacing w:line="240" w:lineRule="auto"/>
    </w:pPr>
    <w:rPr>
      <w:sz w:val="20"/>
      <w:szCs w:val="20"/>
    </w:rPr>
  </w:style>
  <w:style w:type="character" w:customStyle="1" w:styleId="CommentTextChar">
    <w:name w:val="Comment Text Char"/>
    <w:basedOn w:val="DefaultParagraphFont"/>
    <w:link w:val="CommentText"/>
    <w:uiPriority w:val="99"/>
    <w:rsid w:val="00677ED1"/>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677ED1"/>
    <w:rPr>
      <w:b/>
      <w:bCs/>
    </w:rPr>
  </w:style>
  <w:style w:type="character" w:customStyle="1" w:styleId="CommentSubjectChar">
    <w:name w:val="Comment Subject Char"/>
    <w:basedOn w:val="CommentTextChar"/>
    <w:link w:val="CommentSubject"/>
    <w:uiPriority w:val="99"/>
    <w:semiHidden/>
    <w:rsid w:val="00677ED1"/>
    <w:rPr>
      <w:rFonts w:ascii="Arial" w:hAnsi="Arial" w:cs="Arial"/>
      <w:b/>
      <w:bCs/>
      <w:color w:val="00363A"/>
      <w:sz w:val="20"/>
      <w:szCs w:val="20"/>
    </w:rPr>
  </w:style>
  <w:style w:type="paragraph" w:styleId="BodyText">
    <w:name w:val="Body Text"/>
    <w:basedOn w:val="Normal"/>
    <w:link w:val="BodyTextChar"/>
    <w:uiPriority w:val="99"/>
    <w:unhideWhenUsed/>
    <w:qFormat/>
    <w:rsid w:val="00522A5F"/>
    <w:pPr>
      <w:spacing w:after="120" w:line="259"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522A5F"/>
  </w:style>
  <w:style w:type="paragraph" w:customStyle="1" w:styleId="TableBullet1">
    <w:name w:val="Table Bullet 1"/>
    <w:basedOn w:val="Normal"/>
    <w:rsid w:val="00522A5F"/>
    <w:pPr>
      <w:keepNext/>
      <w:numPr>
        <w:numId w:val="70"/>
      </w:numPr>
      <w:spacing w:before="60" w:after="60" w:line="240" w:lineRule="auto"/>
      <w:ind w:left="170" w:hanging="142"/>
    </w:pPr>
    <w:rPr>
      <w:rFonts w:ascii="Times New Roman" w:eastAsia="Times New Roman" w:hAnsi="Times New Roman" w:cs="Times New Roman"/>
      <w:color w:val="auto"/>
      <w:sz w:val="16"/>
      <w:szCs w:val="24"/>
      <w:lang w:val="en-US" w:eastAsia="en-AU" w:bidi="en-US"/>
    </w:rPr>
  </w:style>
  <w:style w:type="paragraph" w:styleId="ListBullet">
    <w:name w:val="List Bullet"/>
    <w:basedOn w:val="BodyText"/>
    <w:qFormat/>
    <w:rsid w:val="00522A5F"/>
    <w:pPr>
      <w:numPr>
        <w:numId w:val="72"/>
      </w:numPr>
      <w:tabs>
        <w:tab w:val="clear" w:pos="360"/>
        <w:tab w:val="num" w:pos="425"/>
      </w:tabs>
      <w:spacing w:before="60" w:after="0" w:line="240" w:lineRule="auto"/>
      <w:ind w:left="425" w:hanging="425"/>
    </w:pPr>
    <w:rPr>
      <w:rFonts w:ascii="Times New Roman" w:eastAsia="Times New Roman" w:hAnsi="Times New Roman" w:cs="Times New Roman"/>
      <w:sz w:val="24"/>
      <w:szCs w:val="24"/>
      <w:lang w:eastAsia="en-GB" w:bidi="en-US"/>
    </w:rPr>
  </w:style>
  <w:style w:type="paragraph" w:customStyle="1" w:styleId="TableText">
    <w:name w:val="Table Text"/>
    <w:basedOn w:val="BodyText"/>
    <w:rsid w:val="00522A5F"/>
    <w:pPr>
      <w:keepNext/>
      <w:suppressAutoHyphens/>
      <w:spacing w:before="60" w:after="60" w:line="240" w:lineRule="auto"/>
    </w:pPr>
    <w:rPr>
      <w:rFonts w:ascii="Arial" w:eastAsia="Times New Roman" w:hAnsi="Arial" w:cs="Times New Roman"/>
      <w:color w:val="2C2624"/>
      <w:sz w:val="20"/>
      <w:szCs w:val="20"/>
      <w:lang w:val="en-US" w:eastAsia="en-AU"/>
    </w:rPr>
  </w:style>
  <w:style w:type="numbering" w:customStyle="1" w:styleId="CurrentList28">
    <w:name w:val="Current List28"/>
    <w:uiPriority w:val="99"/>
    <w:rsid w:val="007A6195"/>
    <w:pPr>
      <w:numPr>
        <w:numId w:val="87"/>
      </w:numPr>
    </w:pPr>
  </w:style>
  <w:style w:type="numbering" w:customStyle="1" w:styleId="CurrentList29">
    <w:name w:val="Current List29"/>
    <w:uiPriority w:val="99"/>
    <w:rsid w:val="00EC3274"/>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aihw.gov.au/reports/domestic-violence/family-domestic-sexual-violence-data"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bjs.ojp.gov/content/pub/pdf/vvsogi1720.pdf" TargetMode="External"/><Relationship Id="rId2" Type="http://schemas.openxmlformats.org/officeDocument/2006/relationships/customXml" Target="../customXml/item2.xml"/><Relationship Id="rId16" Type="http://schemas.openxmlformats.org/officeDocument/2006/relationships/hyperlink" Target="https://www.abs.gov.au/statistics/people/crime-and-justice/personal-safety-australia/latest-releas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bs.gov.au/statistics/people/crime-and-justice/personal-safety-australia/latest-relea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spectvictoria.vic.gov.au/what-we-know-about-drivers-of-viol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victoria.vic.gov.au/what-we-know-about-drivers-of-violence" TargetMode="External"/><Relationship Id="rId22"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broadfoot/Library/CloudStorage/GoogleDrive-johninglisb@gmail.com/My%20Drive/_Work_files/_Projects/Respect_Victoria/R001_Research_Document_Design/Word_Master_Templates/Research%20Report%20template%202023%20(AIFS).dotx"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3" ma:contentTypeDescription="Create a new document." ma:contentTypeScope="" ma:versionID="ca0ec06839a2468ea8b042945e73ffa7">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51aef8e7e91b11d73af483e5c816fb36"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458cd-d121-45b1-b78c-f655a971ee7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45D0F-826A-4FF9-B38C-A6AC49BCDCE0}">
  <ds:schemaRefs>
    <ds:schemaRef ds:uri="http://schemas.microsoft.com/sharepoint/v3/contenttype/forms"/>
  </ds:schemaRefs>
</ds:datastoreItem>
</file>

<file path=customXml/itemProps2.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customXml/itemProps3.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4.xml><?xml version="1.0" encoding="utf-8"?>
<ds:datastoreItem xmlns:ds="http://schemas.openxmlformats.org/officeDocument/2006/customXml" ds:itemID="{6872E39C-639C-455F-B4ED-FEE01C839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Research Report template 2023 (AIFS).dotx</Template>
  <TotalTime>43</TotalTime>
  <Pages>13</Pages>
  <Words>4463</Words>
  <Characters>25444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John Broadfoot</cp:lastModifiedBy>
  <cp:revision>70</cp:revision>
  <cp:lastPrinted>2023-12-10T23:18:00Z</cp:lastPrinted>
  <dcterms:created xsi:type="dcterms:W3CDTF">2023-12-16T05:25:00Z</dcterms:created>
  <dcterms:modified xsi:type="dcterms:W3CDTF">2023-12-19T07:02:00Z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